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6B" w:rsidRPr="0033296B" w:rsidRDefault="0033296B" w:rsidP="0033296B">
      <w:pPr>
        <w:spacing w:after="0" w:line="280" w:lineRule="atLeast"/>
        <w:rPr>
          <w:rFonts w:ascii="Verdana" w:eastAsia="Times New Roman" w:hAnsi="Verdana" w:cs="Times New Roman"/>
          <w:sz w:val="18"/>
          <w:szCs w:val="18"/>
          <w:lang w:eastAsia="da-DK"/>
        </w:rPr>
      </w:pPr>
      <w:bookmarkStart w:id="0" w:name="_GoBack"/>
      <w:bookmarkEnd w:id="0"/>
    </w:p>
    <w:p w:rsidR="00CC38A9" w:rsidRDefault="00CC38A9" w:rsidP="0033296B">
      <w:pPr>
        <w:pStyle w:val="Overskrift4"/>
      </w:pPr>
      <w:r>
        <w:t>Prioriteringskoncept version 1.4</w:t>
      </w:r>
      <w:r w:rsidR="0033296B" w:rsidRPr="0033296B">
        <w:t xml:space="preserve">, </w:t>
      </w:r>
      <w:r>
        <w:t>foråret</w:t>
      </w:r>
      <w:r w:rsidR="0033296B" w:rsidRPr="0033296B">
        <w:t xml:space="preserve"> 2018</w:t>
      </w:r>
      <w:r>
        <w:t xml:space="preserve"> </w:t>
      </w:r>
    </w:p>
    <w:p w:rsidR="0033296B" w:rsidRPr="00CC38A9" w:rsidRDefault="00CC38A9" w:rsidP="0033296B">
      <w:pPr>
        <w:pStyle w:val="Overskrift4"/>
        <w:rPr>
          <w:b w:val="0"/>
          <w:i/>
        </w:rPr>
      </w:pPr>
      <w:r>
        <w:rPr>
          <w:b w:val="0"/>
          <w:i/>
        </w:rPr>
        <w:t>I</w:t>
      </w:r>
      <w:r w:rsidRPr="00CC38A9">
        <w:rPr>
          <w:b w:val="0"/>
          <w:i/>
        </w:rPr>
        <w:t>nkl. beskrivelse af anvendelse af konceptet i konkret prioritering</w:t>
      </w:r>
    </w:p>
    <w:p w:rsidR="0033296B" w:rsidRPr="0033296B" w:rsidRDefault="0033296B" w:rsidP="0033296B">
      <w:pPr>
        <w:spacing w:after="0" w:line="280" w:lineRule="atLeast"/>
        <w:rPr>
          <w:rFonts w:ascii="Verdana" w:eastAsia="Times New Roman" w:hAnsi="Verdana" w:cs="Times New Roman"/>
          <w:sz w:val="18"/>
          <w:szCs w:val="18"/>
          <w:lang w:eastAsia="da-DK"/>
        </w:rPr>
      </w:pPr>
    </w:p>
    <w:p w:rsidR="0033296B" w:rsidRPr="0033296B" w:rsidRDefault="0033296B" w:rsidP="0033296B">
      <w:pPr>
        <w:spacing w:after="0" w:line="280" w:lineRule="atLeast"/>
        <w:rPr>
          <w:rFonts w:ascii="Verdana" w:eastAsia="Times New Roman" w:hAnsi="Verdana" w:cs="Times New Roman"/>
          <w:b/>
          <w:bCs/>
          <w:sz w:val="18"/>
          <w:szCs w:val="18"/>
          <w:lang w:eastAsia="da-DK"/>
        </w:rPr>
      </w:pPr>
      <w:r w:rsidRPr="0033296B">
        <w:rPr>
          <w:rFonts w:ascii="Verdana" w:eastAsia="Times New Roman" w:hAnsi="Verdana" w:cs="Times New Roman"/>
          <w:b/>
          <w:bCs/>
          <w:sz w:val="18"/>
          <w:szCs w:val="18"/>
          <w:lang w:eastAsia="da-DK"/>
        </w:rPr>
        <w:t>Konceptets formål</w:t>
      </w:r>
    </w:p>
    <w:p w:rsidR="0033296B" w:rsidRPr="0033296B" w:rsidRDefault="0033296B" w:rsidP="0033296B">
      <w:pPr>
        <w:spacing w:after="0" w:line="280" w:lineRule="atLeast"/>
        <w:rPr>
          <w:rFonts w:ascii="Verdana" w:eastAsia="Times New Roman" w:hAnsi="Verdana" w:cs="Times New Roman"/>
          <w:sz w:val="18"/>
          <w:szCs w:val="18"/>
          <w:lang w:eastAsia="da-DK"/>
        </w:rPr>
      </w:pPr>
      <w:r w:rsidRPr="0033296B">
        <w:rPr>
          <w:rFonts w:ascii="Verdana" w:eastAsia="Times New Roman" w:hAnsi="Verdana" w:cs="Times New Roman"/>
          <w:sz w:val="18"/>
          <w:szCs w:val="18"/>
          <w:lang w:eastAsia="da-DK"/>
        </w:rPr>
        <w:t>Som udgangspunkt for prioritering af databasen skal foreligge en beskrivelse, som nuancerer volumen og alvorlighed og betydning af databasen. Dette betyder, at databasens RKKP-team i samarbejde med databasens styregruppe klart skal kunne beskrive, hvilke kvalitetsbrist/-forskelle, som databasen berører og hvilken effekt, databasen forventer at have samt hvilke mulige omkostninger uden for RKKP-regi</w:t>
      </w:r>
      <w:r>
        <w:rPr>
          <w:rFonts w:ascii="Verdana" w:eastAsia="Times New Roman" w:hAnsi="Verdana" w:cs="Times New Roman"/>
          <w:sz w:val="18"/>
          <w:szCs w:val="18"/>
          <w:lang w:eastAsia="da-DK"/>
        </w:rPr>
        <w:t xml:space="preserve"> (f.eks. udgifter til indberetning)</w:t>
      </w:r>
      <w:r w:rsidRPr="0033296B">
        <w:rPr>
          <w:rFonts w:ascii="Verdana" w:eastAsia="Times New Roman" w:hAnsi="Verdana" w:cs="Times New Roman"/>
          <w:sz w:val="18"/>
          <w:szCs w:val="18"/>
          <w:lang w:eastAsia="da-DK"/>
        </w:rPr>
        <w:t xml:space="preserve">, databasen kan have. </w:t>
      </w:r>
    </w:p>
    <w:p w:rsidR="0033296B" w:rsidRPr="0033296B" w:rsidRDefault="0033296B" w:rsidP="0033296B">
      <w:pPr>
        <w:spacing w:after="0" w:line="280" w:lineRule="atLeast"/>
        <w:rPr>
          <w:rFonts w:ascii="Verdana" w:eastAsia="Times New Roman" w:hAnsi="Verdana" w:cs="Times New Roman"/>
          <w:sz w:val="18"/>
          <w:szCs w:val="18"/>
          <w:lang w:eastAsia="da-DK"/>
        </w:rPr>
      </w:pPr>
    </w:p>
    <w:p w:rsidR="0033296B" w:rsidRPr="0033296B" w:rsidRDefault="0033296B" w:rsidP="0033296B">
      <w:pPr>
        <w:spacing w:after="0" w:line="280" w:lineRule="atLeast"/>
        <w:rPr>
          <w:rFonts w:ascii="Verdana" w:eastAsia="Times New Roman" w:hAnsi="Verdana" w:cs="Times New Roman"/>
          <w:sz w:val="18"/>
          <w:szCs w:val="18"/>
          <w:lang w:eastAsia="da-DK"/>
        </w:rPr>
      </w:pPr>
      <w:r w:rsidRPr="0033296B">
        <w:rPr>
          <w:rFonts w:ascii="Verdana" w:eastAsia="Times New Roman" w:hAnsi="Verdana" w:cs="Times New Roman"/>
          <w:sz w:val="18"/>
          <w:szCs w:val="18"/>
          <w:lang w:eastAsia="da-DK"/>
        </w:rPr>
        <w:t xml:space="preserve">I forhold til </w:t>
      </w:r>
      <w:r>
        <w:rPr>
          <w:rFonts w:ascii="Verdana" w:eastAsia="Times New Roman" w:hAnsi="Verdana" w:cs="Times New Roman"/>
          <w:sz w:val="18"/>
          <w:szCs w:val="18"/>
          <w:lang w:eastAsia="da-DK"/>
        </w:rPr>
        <w:t>udfyldelse af skemaet</w:t>
      </w:r>
      <w:r w:rsidRPr="0033296B">
        <w:rPr>
          <w:rFonts w:ascii="Verdana" w:eastAsia="Times New Roman" w:hAnsi="Verdana" w:cs="Times New Roman"/>
          <w:sz w:val="18"/>
          <w:szCs w:val="18"/>
          <w:lang w:eastAsia="da-DK"/>
        </w:rPr>
        <w:t xml:space="preserve">, vil det typisk være tilknyttet RKKP-team, der skal stå for </w:t>
      </w:r>
      <w:r>
        <w:rPr>
          <w:rFonts w:ascii="Verdana" w:eastAsia="Times New Roman" w:hAnsi="Verdana" w:cs="Times New Roman"/>
          <w:sz w:val="18"/>
          <w:szCs w:val="18"/>
          <w:lang w:eastAsia="da-DK"/>
        </w:rPr>
        <w:t xml:space="preserve">udfyldelse i tæt dialog med </w:t>
      </w:r>
      <w:r w:rsidRPr="0033296B">
        <w:rPr>
          <w:rFonts w:ascii="Verdana" w:eastAsia="Times New Roman" w:hAnsi="Verdana" w:cs="Times New Roman"/>
          <w:sz w:val="18"/>
          <w:szCs w:val="18"/>
          <w:lang w:eastAsia="da-DK"/>
        </w:rPr>
        <w:t xml:space="preserve">databasens formand/styregruppe. </w:t>
      </w:r>
      <w:r>
        <w:rPr>
          <w:rFonts w:ascii="Verdana" w:eastAsia="Times New Roman" w:hAnsi="Verdana" w:cs="Times New Roman"/>
          <w:sz w:val="18"/>
          <w:szCs w:val="18"/>
          <w:lang w:eastAsia="da-DK"/>
        </w:rPr>
        <w:t>Skemaet</w:t>
      </w:r>
      <w:r w:rsidRPr="0033296B">
        <w:rPr>
          <w:rFonts w:ascii="Verdana" w:eastAsia="Times New Roman" w:hAnsi="Verdana" w:cs="Times New Roman"/>
          <w:sz w:val="18"/>
          <w:szCs w:val="18"/>
          <w:lang w:eastAsia="da-DK"/>
        </w:rPr>
        <w:t xml:space="preserve"> skal udfyldes sammen med </w:t>
      </w:r>
      <w:proofErr w:type="spellStart"/>
      <w:r>
        <w:rPr>
          <w:rFonts w:ascii="Verdana" w:eastAsia="Times New Roman" w:hAnsi="Verdana" w:cs="Times New Roman"/>
          <w:sz w:val="18"/>
          <w:szCs w:val="18"/>
          <w:lang w:eastAsia="da-DK"/>
        </w:rPr>
        <w:t>RKKP's</w:t>
      </w:r>
      <w:proofErr w:type="spellEnd"/>
      <w:r>
        <w:rPr>
          <w:rFonts w:ascii="Verdana" w:eastAsia="Times New Roman" w:hAnsi="Verdana" w:cs="Times New Roman"/>
          <w:sz w:val="18"/>
          <w:szCs w:val="18"/>
          <w:lang w:eastAsia="da-DK"/>
        </w:rPr>
        <w:t xml:space="preserve"> </w:t>
      </w:r>
      <w:r w:rsidRPr="0033296B">
        <w:rPr>
          <w:rFonts w:ascii="Verdana" w:eastAsia="Times New Roman" w:hAnsi="Verdana" w:cs="Times New Roman"/>
          <w:sz w:val="18"/>
          <w:szCs w:val="18"/>
          <w:lang w:eastAsia="da-DK"/>
        </w:rPr>
        <w:t xml:space="preserve">ansøgningsskema og indsendes til </w:t>
      </w:r>
      <w:hyperlink r:id="rId9" w:history="1">
        <w:r w:rsidRPr="0033296B">
          <w:rPr>
            <w:rFonts w:ascii="Verdana" w:eastAsia="Times New Roman" w:hAnsi="Verdana" w:cs="Times New Roman"/>
            <w:sz w:val="18"/>
            <w:szCs w:val="18"/>
            <w:lang w:eastAsia="da-DK"/>
          </w:rPr>
          <w:t>fagligkvalitet@rkkp.dk</w:t>
        </w:r>
      </w:hyperlink>
      <w:r w:rsidRPr="0033296B">
        <w:rPr>
          <w:rFonts w:ascii="Verdana" w:eastAsia="Times New Roman" w:hAnsi="Verdana" w:cs="Times New Roman"/>
          <w:sz w:val="18"/>
          <w:szCs w:val="18"/>
          <w:lang w:eastAsia="da-DK"/>
        </w:rPr>
        <w:t xml:space="preserve"> senest 20. april 2018 – læs mere her: http://www.rkkp.dk/okonomi/regionernes-udviklingspulje-for-klinisk-kvalitet/</w:t>
      </w:r>
    </w:p>
    <w:p w:rsidR="0033296B" w:rsidRPr="0033296B" w:rsidRDefault="0033296B" w:rsidP="0033296B">
      <w:pPr>
        <w:spacing w:after="0" w:line="280" w:lineRule="atLeast"/>
        <w:rPr>
          <w:rFonts w:ascii="Verdana" w:eastAsia="Times New Roman" w:hAnsi="Verdana" w:cs="Times New Roman"/>
          <w:sz w:val="18"/>
          <w:szCs w:val="18"/>
          <w:lang w:eastAsia="da-DK"/>
        </w:rPr>
      </w:pPr>
    </w:p>
    <w:p w:rsidR="0033296B" w:rsidRDefault="0033296B" w:rsidP="0033296B">
      <w:pPr>
        <w:spacing w:after="0" w:line="280" w:lineRule="atLeast"/>
        <w:rPr>
          <w:rFonts w:ascii="Verdana" w:eastAsia="Times New Roman" w:hAnsi="Verdana" w:cs="Times New Roman"/>
          <w:sz w:val="18"/>
          <w:szCs w:val="18"/>
          <w:lang w:eastAsia="da-DK"/>
        </w:rPr>
      </w:pPr>
      <w:r w:rsidRPr="0033296B">
        <w:rPr>
          <w:rFonts w:ascii="Verdana" w:eastAsia="Times New Roman" w:hAnsi="Verdana" w:cs="Times New Roman"/>
          <w:sz w:val="18"/>
          <w:szCs w:val="18"/>
          <w:lang w:eastAsia="da-DK"/>
        </w:rPr>
        <w:t>Der kan henvises til online materiale/vedlagte dokumenter for oplysninger, der fremgår andre steder f.eks. af dokumentationsskabelon, årsrapporter, ansøgninger til Sundhedsdatastyrelsen om godkendelse: oplysninger, der fremgår af evt. udfyldt dokumentation</w:t>
      </w:r>
      <w:r>
        <w:rPr>
          <w:rFonts w:ascii="Verdana" w:eastAsia="Times New Roman" w:hAnsi="Verdana" w:cs="Times New Roman"/>
          <w:sz w:val="18"/>
          <w:szCs w:val="18"/>
          <w:lang w:eastAsia="da-DK"/>
        </w:rPr>
        <w:t>sskabelon og/</w:t>
      </w:r>
      <w:r w:rsidRPr="0033296B">
        <w:rPr>
          <w:rFonts w:ascii="Verdana" w:eastAsia="Times New Roman" w:hAnsi="Verdana" w:cs="Times New Roman"/>
          <w:sz w:val="18"/>
          <w:szCs w:val="18"/>
          <w:lang w:eastAsia="da-DK"/>
        </w:rPr>
        <w:t>eller ansøgningsskema til Sundhedsdatastyrelsen i anvendelse efter 1.7.2016 er skraveret med grå.</w:t>
      </w:r>
    </w:p>
    <w:p w:rsidR="00CC38A9" w:rsidRDefault="00CC38A9" w:rsidP="0033296B">
      <w:pPr>
        <w:spacing w:after="0" w:line="280" w:lineRule="atLeast"/>
        <w:rPr>
          <w:rFonts w:ascii="Verdana" w:eastAsia="Times New Roman" w:hAnsi="Verdana" w:cs="Times New Roman"/>
          <w:sz w:val="18"/>
          <w:szCs w:val="18"/>
          <w:lang w:eastAsia="da-DK"/>
        </w:rPr>
      </w:pPr>
    </w:p>
    <w:p w:rsidR="00CC38A9" w:rsidRPr="0033296B" w:rsidRDefault="00CC38A9" w:rsidP="0033296B">
      <w:pPr>
        <w:spacing w:after="0" w:line="280" w:lineRule="atLeast"/>
        <w:rPr>
          <w:rFonts w:ascii="Verdana" w:eastAsia="Times New Roman" w:hAnsi="Verdana" w:cs="Times New Roman"/>
          <w:sz w:val="18"/>
          <w:szCs w:val="18"/>
          <w:lang w:eastAsia="da-DK"/>
        </w:rPr>
      </w:pPr>
      <w:r>
        <w:rPr>
          <w:rFonts w:ascii="Verdana" w:eastAsia="Times New Roman" w:hAnsi="Verdana" w:cs="Times New Roman"/>
          <w:sz w:val="18"/>
          <w:szCs w:val="18"/>
          <w:lang w:eastAsia="da-DK"/>
        </w:rPr>
        <w:t>Læs mere om anvendelsen af prioriteringskonceptet i Appendiks 1.</w:t>
      </w:r>
    </w:p>
    <w:p w:rsidR="0033296B" w:rsidRPr="0033296B" w:rsidRDefault="0033296B" w:rsidP="0033296B">
      <w:pPr>
        <w:spacing w:after="0" w:line="280" w:lineRule="atLeast"/>
        <w:rPr>
          <w:rFonts w:ascii="Verdana" w:eastAsia="Times New Roman" w:hAnsi="Verdana" w:cs="Times New Roman"/>
          <w:sz w:val="18"/>
          <w:szCs w:val="18"/>
          <w:lang w:eastAsia="da-DK"/>
        </w:rPr>
      </w:pPr>
    </w:p>
    <w:p w:rsidR="0033296B" w:rsidRPr="0033296B" w:rsidRDefault="0033296B" w:rsidP="0033296B">
      <w:pPr>
        <w:spacing w:after="0" w:line="280" w:lineRule="atLeast"/>
        <w:rPr>
          <w:rFonts w:ascii="Verdana" w:eastAsia="Times New Roman" w:hAnsi="Verdana" w:cs="Times New Roman"/>
          <w:sz w:val="18"/>
          <w:szCs w:val="18"/>
          <w:lang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5"/>
        <w:gridCol w:w="4667"/>
      </w:tblGrid>
      <w:tr w:rsidR="0033296B" w:rsidRPr="0033296B" w:rsidTr="00E72438">
        <w:tc>
          <w:tcPr>
            <w:tcW w:w="5000" w:type="pct"/>
            <w:gridSpan w:val="2"/>
            <w:shd w:val="clear" w:color="auto" w:fill="CCCCCC"/>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bCs/>
                <w:sz w:val="18"/>
                <w:szCs w:val="18"/>
                <w:lang w:eastAsia="da-DK"/>
              </w:rPr>
            </w:pPr>
            <w:r w:rsidRPr="0033296B">
              <w:rPr>
                <w:rFonts w:ascii="Verdana" w:eastAsia="Times New Roman" w:hAnsi="Verdana" w:cs="Times New Roman"/>
                <w:b/>
                <w:bCs/>
                <w:sz w:val="18"/>
                <w:szCs w:val="18"/>
                <w:lang w:eastAsia="da-DK"/>
              </w:rPr>
              <w:t xml:space="preserve">Prioriteringskoncept version 1.3 </w:t>
            </w:r>
          </w:p>
          <w:p w:rsidR="0033296B" w:rsidRPr="0033296B" w:rsidRDefault="0033296B" w:rsidP="0033296B">
            <w:pPr>
              <w:spacing w:after="0" w:line="280" w:lineRule="atLeast"/>
              <w:rPr>
                <w:rFonts w:ascii="Verdana" w:eastAsia="Times New Roman" w:hAnsi="Verdana" w:cs="Times New Roman"/>
                <w:b/>
                <w:bCs/>
                <w:sz w:val="18"/>
                <w:szCs w:val="18"/>
                <w:lang w:eastAsia="da-DK"/>
              </w:rPr>
            </w:pPr>
            <w:r w:rsidRPr="0033296B">
              <w:rPr>
                <w:rFonts w:ascii="Verdana" w:eastAsia="Times New Roman" w:hAnsi="Verdana" w:cs="Times New Roman"/>
                <w:b/>
                <w:bCs/>
                <w:sz w:val="18"/>
                <w:szCs w:val="18"/>
                <w:lang w:eastAsia="da-DK"/>
              </w:rPr>
              <w:t>Rød skrift=eksempel på udfyldt koncept v/Dansk Voksen Diabetes Database i 2017)</w:t>
            </w:r>
          </w:p>
        </w:tc>
      </w:tr>
      <w:tr w:rsidR="0033296B" w:rsidRPr="0033296B" w:rsidTr="00E72438">
        <w:tc>
          <w:tcPr>
            <w:tcW w:w="5000" w:type="pct"/>
            <w:gridSpan w:val="2"/>
            <w:shd w:val="clear" w:color="auto" w:fill="CCCCCC"/>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Cs/>
                <w:sz w:val="18"/>
                <w:szCs w:val="18"/>
              </w:rPr>
            </w:pPr>
            <w:r w:rsidRPr="0033296B">
              <w:rPr>
                <w:rFonts w:ascii="Verdana" w:eastAsia="Times New Roman" w:hAnsi="Verdana" w:cs="Times New Roman"/>
                <w:bCs/>
                <w:sz w:val="18"/>
                <w:szCs w:val="18"/>
              </w:rPr>
              <w:t xml:space="preserve">Oplysningerne vil i kombination med oplysninger leveret i </w:t>
            </w:r>
            <w:proofErr w:type="spellStart"/>
            <w:r>
              <w:rPr>
                <w:rFonts w:ascii="Verdana" w:eastAsia="Times New Roman" w:hAnsi="Verdana" w:cs="Times New Roman"/>
                <w:bCs/>
                <w:sz w:val="18"/>
                <w:szCs w:val="18"/>
              </w:rPr>
              <w:t>RKKP's</w:t>
            </w:r>
            <w:proofErr w:type="spellEnd"/>
            <w:r>
              <w:rPr>
                <w:rFonts w:ascii="Verdana" w:eastAsia="Times New Roman" w:hAnsi="Verdana" w:cs="Times New Roman"/>
                <w:bCs/>
                <w:sz w:val="18"/>
                <w:szCs w:val="18"/>
              </w:rPr>
              <w:t xml:space="preserve"> </w:t>
            </w:r>
            <w:r w:rsidRPr="0033296B">
              <w:rPr>
                <w:rFonts w:ascii="Verdana" w:eastAsia="Times New Roman" w:hAnsi="Verdana" w:cs="Times New Roman"/>
                <w:bCs/>
                <w:sz w:val="18"/>
                <w:szCs w:val="18"/>
              </w:rPr>
              <w:t>ansøgningsskema indgå i prioriteringen af regionernes 2019-pulje til drift af de støttede, kliniske kvalitetsdatabaser</w:t>
            </w:r>
          </w:p>
        </w:tc>
      </w:tr>
      <w:tr w:rsidR="0033296B" w:rsidRPr="0033296B" w:rsidTr="00E72438">
        <w:tc>
          <w:tcPr>
            <w:tcW w:w="5000" w:type="pct"/>
            <w:gridSpan w:val="2"/>
            <w:shd w:val="clear" w:color="auto" w:fill="CCCCCC"/>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bCs/>
                <w:sz w:val="18"/>
                <w:szCs w:val="18"/>
              </w:rPr>
            </w:pPr>
            <w:r w:rsidRPr="0033296B">
              <w:rPr>
                <w:rFonts w:ascii="Verdana" w:eastAsia="Times New Roman" w:hAnsi="Verdana" w:cs="Times New Roman"/>
                <w:b/>
                <w:bCs/>
                <w:sz w:val="18"/>
                <w:szCs w:val="18"/>
              </w:rPr>
              <w:t>Databasens økonomi</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i/>
                <w:iCs/>
                <w:sz w:val="18"/>
                <w:szCs w:val="18"/>
              </w:rPr>
            </w:pPr>
            <w:r w:rsidRPr="0033296B">
              <w:rPr>
                <w:rFonts w:ascii="Verdana" w:eastAsia="Times New Roman" w:hAnsi="Verdana" w:cs="Times New Roman"/>
                <w:b/>
                <w:sz w:val="18"/>
                <w:szCs w:val="18"/>
              </w:rPr>
              <w:t>Ekstern finansiering</w:t>
            </w:r>
            <w:r w:rsidRPr="0033296B">
              <w:rPr>
                <w:rFonts w:ascii="Verdana" w:eastAsia="Times New Roman" w:hAnsi="Verdana" w:cs="Times New Roman"/>
                <w:b/>
                <w:i/>
                <w:iCs/>
                <w:sz w:val="18"/>
                <w:szCs w:val="18"/>
              </w:rPr>
              <w:t xml:space="preserve"> </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i/>
                <w:iCs/>
                <w:sz w:val="18"/>
                <w:szCs w:val="18"/>
              </w:rPr>
              <w:t>Beskrivelse af evt. ydelser/midler fra andre kilder end RKKP (f.eks. fondsstøtte, støtte fra patientforeninger eller industristøtte)</w:t>
            </w:r>
          </w:p>
        </w:tc>
        <w:tc>
          <w:tcPr>
            <w:tcW w:w="2547"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i/>
                <w:iCs/>
                <w:sz w:val="18"/>
                <w:szCs w:val="18"/>
              </w:rPr>
            </w:pPr>
            <w:r w:rsidRPr="0033296B">
              <w:rPr>
                <w:rFonts w:ascii="Verdana" w:eastAsia="Times New Roman" w:hAnsi="Verdana" w:cs="Times New Roman"/>
                <w:iCs/>
                <w:color w:val="FF0000"/>
                <w:sz w:val="18"/>
                <w:szCs w:val="18"/>
              </w:rPr>
              <w:t>Dansk Voksen Diabetes Database modtager ikke ekstern finansiering.</w:t>
            </w:r>
          </w:p>
        </w:tc>
      </w:tr>
      <w:tr w:rsidR="0033296B" w:rsidRPr="0033296B" w:rsidTr="00E72438">
        <w:tc>
          <w:tcPr>
            <w:tcW w:w="5000" w:type="pct"/>
            <w:gridSpan w:val="2"/>
            <w:shd w:val="clear" w:color="auto" w:fill="CCCCCC"/>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bCs/>
                <w:sz w:val="18"/>
                <w:szCs w:val="18"/>
              </w:rPr>
            </w:pPr>
            <w:r w:rsidRPr="0033296B">
              <w:rPr>
                <w:rFonts w:ascii="Verdana" w:eastAsia="Times New Roman" w:hAnsi="Verdana" w:cs="Times New Roman"/>
                <w:b/>
                <w:bCs/>
                <w:sz w:val="18"/>
                <w:szCs w:val="18"/>
              </w:rPr>
              <w:t>Aftaler</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b/>
                <w:sz w:val="18"/>
                <w:szCs w:val="18"/>
              </w:rPr>
              <w:t>Aftaler</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sz w:val="18"/>
                <w:szCs w:val="18"/>
              </w:rPr>
              <w:t>Her beskrives, hvis databasens etablering eller drift følger af nationale aftaler eller lovgivning (kræftplaner, bekendtgørelser, anbefalinger fra Nordisk Ministerråd eller lign.) eller data fra databasen bruges til belysning af nationale mål eller kvaliteten på specialfunktioner udpeget i Sundhedsstyrelsens specialeplan</w:t>
            </w:r>
          </w:p>
        </w:tc>
        <w:tc>
          <w:tcPr>
            <w:tcW w:w="2547"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iCs/>
                <w:color w:val="FF0000"/>
                <w:sz w:val="18"/>
                <w:szCs w:val="18"/>
              </w:rPr>
            </w:pPr>
            <w:r w:rsidRPr="0033296B">
              <w:rPr>
                <w:rFonts w:ascii="Verdana" w:eastAsia="Times New Roman" w:hAnsi="Verdana" w:cs="Times New Roman"/>
                <w:iCs/>
                <w:color w:val="FF0000"/>
                <w:sz w:val="18"/>
                <w:szCs w:val="18"/>
              </w:rPr>
              <w:t>Ingen særlige aftaler/data anvendes ikke til belysning af nationale mål/specialeplan (nyt felt, derfor ikke udfyldt af Dansk Voksen Diabetes Database)</w:t>
            </w:r>
          </w:p>
        </w:tc>
      </w:tr>
      <w:tr w:rsidR="0033296B" w:rsidRPr="0033296B" w:rsidTr="00E72438">
        <w:tc>
          <w:tcPr>
            <w:tcW w:w="5000" w:type="pct"/>
            <w:gridSpan w:val="2"/>
            <w:shd w:val="clear" w:color="auto" w:fill="C0C0C0"/>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b/>
                <w:bCs/>
                <w:sz w:val="18"/>
                <w:szCs w:val="18"/>
              </w:rPr>
              <w:t>Effekt af database</w:t>
            </w:r>
          </w:p>
        </w:tc>
      </w:tr>
      <w:tr w:rsidR="0033296B" w:rsidRPr="0033296B" w:rsidTr="00E72438">
        <w:tc>
          <w:tcPr>
            <w:tcW w:w="2453"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b/>
                <w:sz w:val="18"/>
                <w:szCs w:val="18"/>
              </w:rPr>
              <w:t xml:space="preserve">Forventet klinisk effekt af databasen i </w:t>
            </w:r>
            <w:r w:rsidRPr="0033296B">
              <w:rPr>
                <w:rFonts w:ascii="Verdana" w:eastAsia="Times New Roman" w:hAnsi="Verdana" w:cs="Times New Roman"/>
                <w:b/>
                <w:sz w:val="18"/>
                <w:szCs w:val="18"/>
              </w:rPr>
              <w:lastRenderedPageBreak/>
              <w:t>forhold til afdækning af kvalitetsforskelle</w:t>
            </w:r>
          </w:p>
          <w:p w:rsidR="0033296B" w:rsidRPr="0033296B" w:rsidRDefault="0033296B" w:rsidP="0033296B">
            <w:pPr>
              <w:spacing w:after="0" w:line="280" w:lineRule="atLeast"/>
              <w:rPr>
                <w:rFonts w:ascii="Verdana" w:eastAsia="Times New Roman" w:hAnsi="Verdana" w:cs="Times New Roman"/>
                <w:iCs/>
                <w:sz w:val="18"/>
                <w:szCs w:val="18"/>
              </w:rPr>
            </w:pPr>
            <w:r w:rsidRPr="0033296B">
              <w:rPr>
                <w:rFonts w:ascii="Verdana" w:eastAsia="Times New Roman" w:hAnsi="Verdana" w:cs="Times New Roman"/>
                <w:iCs/>
                <w:sz w:val="18"/>
                <w:szCs w:val="18"/>
              </w:rPr>
              <w:t>Udfyldes med hvilke kvalitetsmål, databasen ønsker opfyldt inden for de næste tre år. For resultatindikatorer angives konkrete ændringer i værdier (f.eks. ønske om opnåelse af bedste internationale standard; fald i dødelighed svarende til bestemt procentdel).</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iCs/>
                <w:sz w:val="18"/>
                <w:szCs w:val="18"/>
              </w:rPr>
              <w:t>For struktur- og procesindikatorer sker beskrivelse af forventede strukturændringer (f.eks. koncentration af behandlingen; specialisering af det kliniske område) for procesindikatorer angives ændringer f.eks. ift. tilslutning til kliniske retningslinjer målt ved ændringer i opfyldelsesgrad af bestemte resultater eller bedre koordination mellem sektorer også angivet ved ændringer i bestemte indikatorresultater</w:t>
            </w:r>
          </w:p>
        </w:tc>
        <w:tc>
          <w:tcPr>
            <w:tcW w:w="2547"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lastRenderedPageBreak/>
              <w:t xml:space="preserve">Databasens formål er, at øge efterlevelse af de </w:t>
            </w:r>
            <w:r w:rsidRPr="0033296B">
              <w:rPr>
                <w:rFonts w:ascii="Verdana" w:eastAsia="Times New Roman" w:hAnsi="Verdana" w:cs="Tahoma"/>
                <w:color w:val="FF0000"/>
                <w:sz w:val="18"/>
                <w:szCs w:val="18"/>
              </w:rPr>
              <w:lastRenderedPageBreak/>
              <w:t xml:space="preserve">kliniske retningslinjer, og derudover fremme muligheden for koordination mellem primær og sekundær sektorer. DVDD bidrager sammen med </w:t>
            </w:r>
            <w:proofErr w:type="spellStart"/>
            <w:r w:rsidRPr="0033296B">
              <w:rPr>
                <w:rFonts w:ascii="Verdana" w:eastAsia="Times New Roman" w:hAnsi="Verdana" w:cs="Tahoma"/>
                <w:color w:val="FF0000"/>
                <w:sz w:val="18"/>
                <w:szCs w:val="18"/>
              </w:rPr>
              <w:t>DanDiabKids</w:t>
            </w:r>
            <w:proofErr w:type="spellEnd"/>
            <w:r w:rsidRPr="0033296B">
              <w:rPr>
                <w:rFonts w:ascii="Verdana" w:eastAsia="Times New Roman" w:hAnsi="Verdana" w:cs="Tahoma"/>
                <w:color w:val="FF0000"/>
                <w:sz w:val="18"/>
                <w:szCs w:val="18"/>
              </w:rPr>
              <w:t xml:space="preserve"> med data til Dansk Diabetes Database (DDD), dette samarbejde kan sikre overgang fra pædiatrisk regi til voksen regi sker uden kvalitetsbrist.</w:t>
            </w:r>
          </w:p>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Inden for de næste tre år skal antallet af patienter, der ”forsvinder” i overgangen fra pædiatrisk behandling til voksenbehandling reduceres væsentligt.</w:t>
            </w:r>
          </w:p>
        </w:tc>
      </w:tr>
      <w:tr w:rsidR="0033296B" w:rsidRPr="0033296B" w:rsidTr="00E72438">
        <w:tc>
          <w:tcPr>
            <w:tcW w:w="5000" w:type="pct"/>
            <w:gridSpan w:val="2"/>
            <w:shd w:val="clear" w:color="auto" w:fill="C0C0C0"/>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b/>
                <w:bCs/>
                <w:sz w:val="18"/>
                <w:szCs w:val="18"/>
              </w:rPr>
              <w:lastRenderedPageBreak/>
              <w:t>Bedømmelse af indikation</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b/>
                <w:sz w:val="18"/>
                <w:szCs w:val="18"/>
              </w:rPr>
              <w:t>Anvendelse til bedømmelse af behandlingsindikation</w:t>
            </w:r>
            <w:r w:rsidRPr="0033296B">
              <w:rPr>
                <w:rFonts w:ascii="Verdana" w:eastAsia="Times New Roman" w:hAnsi="Verdana" w:cs="Times New Roman"/>
                <w:sz w:val="18"/>
                <w:szCs w:val="18"/>
              </w:rPr>
              <w:t xml:space="preserve"> </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sz w:val="18"/>
                <w:szCs w:val="18"/>
              </w:rPr>
              <w:t>Kan databasen medvirke til bedømmelse af korrekt indikation for behandling, visitation, pleje etc.</w:t>
            </w:r>
          </w:p>
        </w:tc>
        <w:tc>
          <w:tcPr>
            <w:tcW w:w="2547"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 xml:space="preserve">I 2010 blev der tilføjet udvalgte ”afledte procesindikatorer” til indikatorsættet, som måler i hvilket omfang særlige risikogrupper (patienter med begyndende nyrepåvirkning, forhøjet blodtryk, forhøjet kolesterol samt forhøjet HbA1c ved type 2 DM) er sat i relevant medicinsk behandling. Systematisk monitorering af behandlingskvaliteten baseret på disse indikatorer vil bidrage til yderligere styrkelse af dansk diabetesbehandling og dermed udligning af kvalitetsforskelle. </w:t>
            </w:r>
          </w:p>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 xml:space="preserve">Indikatorerne er: </w:t>
            </w:r>
          </w:p>
          <w:p w:rsidR="0033296B" w:rsidRPr="0033296B" w:rsidRDefault="0033296B" w:rsidP="0033296B">
            <w:pPr>
              <w:numPr>
                <w:ilvl w:val="0"/>
                <w:numId w:val="2"/>
              </w:numPr>
              <w:spacing w:after="0" w:line="280" w:lineRule="atLeast"/>
              <w:rPr>
                <w:rFonts w:ascii="Verdana" w:eastAsia="Times New Roman" w:hAnsi="Verdana" w:cs="Tahoma"/>
                <w:i/>
                <w:iCs/>
                <w:color w:val="FF0000"/>
                <w:sz w:val="18"/>
                <w:szCs w:val="18"/>
              </w:rPr>
            </w:pPr>
            <w:r w:rsidRPr="0033296B">
              <w:rPr>
                <w:rFonts w:ascii="Verdana" w:eastAsia="Times New Roman" w:hAnsi="Verdana" w:cs="Tahoma"/>
                <w:i/>
                <w:iCs/>
                <w:color w:val="FF0000"/>
                <w:sz w:val="18"/>
                <w:szCs w:val="18"/>
              </w:rPr>
              <w:t xml:space="preserve">Andelen af patienter med type 2 diabetes med HbA1c, som ikke er sat i antidiabetisk behandling </w:t>
            </w:r>
          </w:p>
          <w:p w:rsidR="0033296B" w:rsidRPr="0033296B" w:rsidRDefault="0033296B" w:rsidP="0033296B">
            <w:pPr>
              <w:spacing w:after="0" w:line="280" w:lineRule="atLeast"/>
              <w:rPr>
                <w:rFonts w:ascii="Verdana" w:eastAsia="Times New Roman" w:hAnsi="Verdana" w:cs="Tahoma"/>
                <w:color w:val="FF0000"/>
                <w:sz w:val="18"/>
                <w:szCs w:val="18"/>
              </w:rPr>
            </w:pPr>
          </w:p>
          <w:p w:rsidR="0033296B" w:rsidRPr="0033296B" w:rsidRDefault="0033296B" w:rsidP="0033296B">
            <w:pPr>
              <w:numPr>
                <w:ilvl w:val="0"/>
                <w:numId w:val="2"/>
              </w:numPr>
              <w:spacing w:after="0" w:line="280" w:lineRule="atLeast"/>
              <w:rPr>
                <w:rFonts w:ascii="Verdana" w:eastAsia="Times New Roman" w:hAnsi="Verdana" w:cs="Tahoma"/>
                <w:i/>
                <w:iCs/>
                <w:color w:val="FF0000"/>
                <w:sz w:val="18"/>
                <w:szCs w:val="18"/>
              </w:rPr>
            </w:pPr>
            <w:r w:rsidRPr="0033296B">
              <w:rPr>
                <w:rFonts w:ascii="Verdana" w:eastAsia="Times New Roman" w:hAnsi="Verdana" w:cs="Tahoma"/>
                <w:i/>
                <w:iCs/>
                <w:color w:val="FF0000"/>
                <w:sz w:val="18"/>
                <w:szCs w:val="18"/>
              </w:rPr>
              <w:t xml:space="preserve">Andelen af patienter med diabetes med blodtryk over 140/90, som ikke er sat i </w:t>
            </w:r>
            <w:proofErr w:type="spellStart"/>
            <w:r w:rsidRPr="0033296B">
              <w:rPr>
                <w:rFonts w:ascii="Verdana" w:eastAsia="Times New Roman" w:hAnsi="Verdana" w:cs="Tahoma"/>
                <w:i/>
                <w:iCs/>
                <w:color w:val="FF0000"/>
                <w:sz w:val="18"/>
                <w:szCs w:val="18"/>
              </w:rPr>
              <w:t>antihypertensiv</w:t>
            </w:r>
            <w:proofErr w:type="spellEnd"/>
            <w:r w:rsidRPr="0033296B">
              <w:rPr>
                <w:rFonts w:ascii="Verdana" w:eastAsia="Times New Roman" w:hAnsi="Verdana" w:cs="Tahoma"/>
                <w:i/>
                <w:iCs/>
                <w:color w:val="FF0000"/>
                <w:sz w:val="18"/>
                <w:szCs w:val="18"/>
              </w:rPr>
              <w:t xml:space="preserve"> behandling </w:t>
            </w:r>
          </w:p>
          <w:p w:rsidR="0033296B" w:rsidRPr="0033296B" w:rsidRDefault="0033296B" w:rsidP="0033296B">
            <w:pPr>
              <w:spacing w:after="0" w:line="280" w:lineRule="atLeast"/>
              <w:rPr>
                <w:rFonts w:ascii="Verdana" w:eastAsia="Times New Roman" w:hAnsi="Verdana" w:cs="Tahoma"/>
                <w:color w:val="FF0000"/>
                <w:sz w:val="18"/>
                <w:szCs w:val="18"/>
              </w:rPr>
            </w:pPr>
          </w:p>
          <w:p w:rsidR="0033296B" w:rsidRPr="0033296B" w:rsidRDefault="0033296B" w:rsidP="0033296B">
            <w:pPr>
              <w:numPr>
                <w:ilvl w:val="0"/>
                <w:numId w:val="2"/>
              </w:numPr>
              <w:spacing w:after="0" w:line="280" w:lineRule="atLeast"/>
              <w:rPr>
                <w:rFonts w:ascii="Verdana" w:eastAsia="Times New Roman" w:hAnsi="Verdana" w:cs="Tahoma"/>
                <w:i/>
                <w:iCs/>
                <w:color w:val="FF0000"/>
                <w:sz w:val="18"/>
                <w:szCs w:val="18"/>
              </w:rPr>
            </w:pPr>
            <w:r w:rsidRPr="0033296B">
              <w:rPr>
                <w:rFonts w:ascii="Verdana" w:eastAsia="Times New Roman" w:hAnsi="Verdana" w:cs="Tahoma"/>
                <w:i/>
                <w:iCs/>
                <w:color w:val="FF0000"/>
                <w:sz w:val="18"/>
                <w:szCs w:val="18"/>
              </w:rPr>
              <w:t xml:space="preserve">Andelen af patienter over 40 år, som LDL over 2,5 som ikke er sat i </w:t>
            </w:r>
            <w:proofErr w:type="spellStart"/>
            <w:r w:rsidRPr="0033296B">
              <w:rPr>
                <w:rFonts w:ascii="Verdana" w:eastAsia="Times New Roman" w:hAnsi="Verdana" w:cs="Tahoma"/>
                <w:i/>
                <w:iCs/>
                <w:color w:val="FF0000"/>
                <w:sz w:val="18"/>
                <w:szCs w:val="18"/>
              </w:rPr>
              <w:t>lipidsænkende</w:t>
            </w:r>
            <w:proofErr w:type="spellEnd"/>
            <w:r w:rsidRPr="0033296B">
              <w:rPr>
                <w:rFonts w:ascii="Verdana" w:eastAsia="Times New Roman" w:hAnsi="Verdana" w:cs="Tahoma"/>
                <w:i/>
                <w:iCs/>
                <w:color w:val="FF0000"/>
                <w:sz w:val="18"/>
                <w:szCs w:val="18"/>
              </w:rPr>
              <w:t xml:space="preserve"> behandling </w:t>
            </w:r>
          </w:p>
          <w:p w:rsidR="0033296B" w:rsidRPr="0033296B" w:rsidRDefault="0033296B" w:rsidP="0033296B">
            <w:pPr>
              <w:spacing w:after="0" w:line="280" w:lineRule="atLeast"/>
              <w:ind w:left="1050"/>
              <w:rPr>
                <w:rFonts w:ascii="Verdana" w:eastAsia="Times New Roman" w:hAnsi="Verdana" w:cs="Tahoma"/>
                <w:i/>
                <w:iCs/>
                <w:color w:val="FF0000"/>
                <w:sz w:val="18"/>
                <w:szCs w:val="18"/>
              </w:rPr>
            </w:pPr>
          </w:p>
          <w:p w:rsidR="0033296B" w:rsidRPr="0033296B" w:rsidRDefault="0033296B" w:rsidP="0033296B">
            <w:pPr>
              <w:numPr>
                <w:ilvl w:val="0"/>
                <w:numId w:val="2"/>
              </w:numPr>
              <w:spacing w:after="0" w:line="280" w:lineRule="atLeast"/>
              <w:rPr>
                <w:rFonts w:ascii="Verdana" w:eastAsia="Times New Roman" w:hAnsi="Verdana" w:cs="Tahoma"/>
                <w:i/>
                <w:iCs/>
                <w:color w:val="FF0000"/>
                <w:sz w:val="18"/>
                <w:szCs w:val="18"/>
              </w:rPr>
            </w:pPr>
            <w:r w:rsidRPr="0033296B">
              <w:rPr>
                <w:rFonts w:ascii="Verdana" w:eastAsia="Times New Roman" w:hAnsi="Verdana" w:cs="Tahoma"/>
                <w:i/>
                <w:iCs/>
                <w:color w:val="FF0000"/>
                <w:sz w:val="18"/>
                <w:szCs w:val="18"/>
              </w:rPr>
              <w:t xml:space="preserve">Andelen af diabetespatienter med </w:t>
            </w:r>
            <w:proofErr w:type="spellStart"/>
            <w:r w:rsidRPr="0033296B">
              <w:rPr>
                <w:rFonts w:ascii="Verdana" w:eastAsia="Times New Roman" w:hAnsi="Verdana" w:cs="Tahoma"/>
                <w:i/>
                <w:iCs/>
                <w:color w:val="FF0000"/>
                <w:sz w:val="18"/>
                <w:szCs w:val="18"/>
              </w:rPr>
              <w:lastRenderedPageBreak/>
              <w:t>mikro</w:t>
            </w:r>
            <w:proofErr w:type="spellEnd"/>
            <w:r w:rsidRPr="0033296B">
              <w:rPr>
                <w:rFonts w:ascii="Verdana" w:eastAsia="Times New Roman" w:hAnsi="Verdana" w:cs="Tahoma"/>
                <w:i/>
                <w:iCs/>
                <w:color w:val="FF0000"/>
                <w:sz w:val="18"/>
                <w:szCs w:val="18"/>
              </w:rPr>
              <w:t xml:space="preserve">- eller </w:t>
            </w:r>
            <w:proofErr w:type="spellStart"/>
            <w:r w:rsidRPr="0033296B">
              <w:rPr>
                <w:rFonts w:ascii="Verdana" w:eastAsia="Times New Roman" w:hAnsi="Verdana" w:cs="Tahoma"/>
                <w:i/>
                <w:iCs/>
                <w:color w:val="FF0000"/>
                <w:sz w:val="18"/>
                <w:szCs w:val="18"/>
              </w:rPr>
              <w:t>makroalbuminuri</w:t>
            </w:r>
            <w:proofErr w:type="spellEnd"/>
            <w:r w:rsidRPr="0033296B">
              <w:rPr>
                <w:rFonts w:ascii="Verdana" w:eastAsia="Times New Roman" w:hAnsi="Verdana" w:cs="Tahoma"/>
                <w:i/>
                <w:iCs/>
                <w:color w:val="FF0000"/>
                <w:sz w:val="18"/>
                <w:szCs w:val="18"/>
              </w:rPr>
              <w:t xml:space="preserve">, som ikke er sat i behandling med </w:t>
            </w:r>
            <w:proofErr w:type="spellStart"/>
            <w:r w:rsidRPr="0033296B">
              <w:rPr>
                <w:rFonts w:ascii="Verdana" w:eastAsia="Times New Roman" w:hAnsi="Verdana" w:cs="Tahoma"/>
                <w:i/>
                <w:iCs/>
                <w:color w:val="FF0000"/>
                <w:sz w:val="18"/>
                <w:szCs w:val="18"/>
              </w:rPr>
              <w:t>Acehæmmer</w:t>
            </w:r>
            <w:proofErr w:type="spellEnd"/>
            <w:r w:rsidRPr="0033296B">
              <w:rPr>
                <w:rFonts w:ascii="Verdana" w:eastAsia="Times New Roman" w:hAnsi="Verdana" w:cs="Tahoma"/>
                <w:i/>
                <w:iCs/>
                <w:color w:val="FF0000"/>
                <w:sz w:val="18"/>
                <w:szCs w:val="18"/>
              </w:rPr>
              <w:t>/ATT2 receptor antagonist</w:t>
            </w:r>
          </w:p>
        </w:tc>
      </w:tr>
      <w:tr w:rsidR="0033296B" w:rsidRPr="0033296B" w:rsidTr="00E72438">
        <w:tc>
          <w:tcPr>
            <w:tcW w:w="5000" w:type="pct"/>
            <w:gridSpan w:val="2"/>
            <w:shd w:val="clear" w:color="auto" w:fill="C0C0C0"/>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bCs/>
                <w:sz w:val="18"/>
                <w:szCs w:val="18"/>
              </w:rPr>
            </w:pPr>
            <w:r w:rsidRPr="0033296B">
              <w:rPr>
                <w:rFonts w:ascii="Verdana" w:eastAsia="Times New Roman" w:hAnsi="Verdana" w:cs="Times New Roman"/>
                <w:b/>
                <w:bCs/>
                <w:sz w:val="18"/>
                <w:szCs w:val="18"/>
              </w:rPr>
              <w:lastRenderedPageBreak/>
              <w:t>Beskrivelse af database</w:t>
            </w:r>
          </w:p>
        </w:tc>
      </w:tr>
      <w:tr w:rsidR="0033296B" w:rsidRPr="0033296B" w:rsidTr="00E72438">
        <w:tc>
          <w:tcPr>
            <w:tcW w:w="2453"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b/>
                <w:sz w:val="18"/>
                <w:szCs w:val="18"/>
              </w:rPr>
              <w:t>Sygdommens alvorlighed</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iCs/>
                <w:sz w:val="18"/>
                <w:szCs w:val="18"/>
              </w:rPr>
              <w:t xml:space="preserve">Død, </w:t>
            </w:r>
            <w:proofErr w:type="spellStart"/>
            <w:r w:rsidRPr="0033296B">
              <w:rPr>
                <w:rFonts w:ascii="Verdana" w:eastAsia="Times New Roman" w:hAnsi="Verdana" w:cs="Times New Roman"/>
                <w:iCs/>
                <w:sz w:val="18"/>
                <w:szCs w:val="18"/>
              </w:rPr>
              <w:t>disability</w:t>
            </w:r>
            <w:proofErr w:type="spellEnd"/>
            <w:r w:rsidRPr="0033296B">
              <w:rPr>
                <w:rFonts w:ascii="Verdana" w:eastAsia="Times New Roman" w:hAnsi="Verdana" w:cs="Times New Roman"/>
                <w:iCs/>
                <w:sz w:val="18"/>
                <w:szCs w:val="18"/>
              </w:rPr>
              <w:t xml:space="preserve">, fravær fra arbejde, smerter </w:t>
            </w:r>
            <w:proofErr w:type="spellStart"/>
            <w:r w:rsidRPr="0033296B">
              <w:rPr>
                <w:rFonts w:ascii="Verdana" w:eastAsia="Times New Roman" w:hAnsi="Verdana" w:cs="Times New Roman"/>
                <w:iCs/>
                <w:sz w:val="18"/>
                <w:szCs w:val="18"/>
              </w:rPr>
              <w:t>osv</w:t>
            </w:r>
            <w:proofErr w:type="spellEnd"/>
          </w:p>
        </w:tc>
        <w:tc>
          <w:tcPr>
            <w:tcW w:w="2547"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Diabetes er en kronisk sygdom, som patienterne lever med i mange år. Patienter med diabetes har en meget betydelig risiko for udvikling af sendiabetiske komplikationer fra øjne, nyrer, nervebaner, fødder samt hjerte-kredsløb. Derfor sigter en meget væsentlig del af behandlingen af patienter med såvel type 1 som type 2 diabetes mod forebyggelse, tidlig opsporing og intensiv behandling af disse sendiabetiske komplikationer.</w:t>
            </w:r>
          </w:p>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Der er desværre stadig er en betydelig overdødelighed hos patienter med DM også selvom overdødeligheden specielt de sidste år er faldet betydelig.</w:t>
            </w:r>
          </w:p>
          <w:p w:rsidR="0033296B" w:rsidRPr="0033296B" w:rsidRDefault="0033296B" w:rsidP="0033296B">
            <w:pPr>
              <w:spacing w:after="0" w:line="280" w:lineRule="atLeast"/>
              <w:rPr>
                <w:rFonts w:ascii="Verdana" w:eastAsia="Times New Roman" w:hAnsi="Verdana" w:cs="Times New Roman"/>
                <w:iCs/>
                <w:sz w:val="18"/>
                <w:szCs w:val="18"/>
              </w:rPr>
            </w:pPr>
            <w:r w:rsidRPr="0033296B">
              <w:rPr>
                <w:rFonts w:ascii="Verdana" w:eastAsia="Times New Roman" w:hAnsi="Verdana" w:cs="Tahoma"/>
                <w:color w:val="FF0000"/>
                <w:sz w:val="18"/>
                <w:szCs w:val="18"/>
              </w:rPr>
              <w:t>Yderligere reference: dokumentalistrapport for DVDD, version 2,4, februar 2013.</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iCs/>
                <w:sz w:val="18"/>
                <w:szCs w:val="18"/>
              </w:rPr>
            </w:pPr>
            <w:r w:rsidRPr="0033296B">
              <w:rPr>
                <w:rFonts w:ascii="Verdana" w:eastAsia="Times New Roman" w:hAnsi="Verdana" w:cs="Times New Roman"/>
                <w:b/>
                <w:sz w:val="18"/>
                <w:szCs w:val="18"/>
              </w:rPr>
              <w:t>Behandlingskvalitetens målbarhed på området?</w:t>
            </w:r>
            <w:r w:rsidRPr="0033296B">
              <w:rPr>
                <w:rFonts w:ascii="Verdana" w:eastAsia="Times New Roman" w:hAnsi="Verdana" w:cs="Times New Roman"/>
                <w:iCs/>
                <w:sz w:val="18"/>
                <w:szCs w:val="18"/>
              </w:rPr>
              <w:t xml:space="preserve"> </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iCs/>
                <w:sz w:val="18"/>
                <w:szCs w:val="18"/>
              </w:rPr>
              <w:t xml:space="preserve">Skal udfyldes af tilknyttet RKKP team/klinisk </w:t>
            </w:r>
            <w:proofErr w:type="spellStart"/>
            <w:r w:rsidRPr="0033296B">
              <w:rPr>
                <w:rFonts w:ascii="Verdana" w:eastAsia="Times New Roman" w:hAnsi="Verdana" w:cs="Times New Roman"/>
                <w:iCs/>
                <w:sz w:val="18"/>
                <w:szCs w:val="18"/>
              </w:rPr>
              <w:t>epidemiologog</w:t>
            </w:r>
            <w:proofErr w:type="spellEnd"/>
            <w:r w:rsidRPr="0033296B">
              <w:rPr>
                <w:rFonts w:ascii="Verdana" w:eastAsia="Times New Roman" w:hAnsi="Verdana" w:cs="Times New Roman"/>
                <w:iCs/>
                <w:sz w:val="18"/>
                <w:szCs w:val="18"/>
              </w:rPr>
              <w:t xml:space="preserve"> besvare spørgsmål om resultater fra databasen kan bruges til at diskriminere mellem god og dårlig behandlingskvalitet på afdelingsniveau</w:t>
            </w:r>
          </w:p>
        </w:tc>
        <w:tc>
          <w:tcPr>
            <w:tcW w:w="2547"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iCs/>
                <w:sz w:val="18"/>
                <w:szCs w:val="18"/>
              </w:rPr>
            </w:pPr>
          </w:p>
        </w:tc>
      </w:tr>
      <w:tr w:rsidR="0033296B" w:rsidRPr="0033296B" w:rsidTr="00E72438">
        <w:tc>
          <w:tcPr>
            <w:tcW w:w="5000" w:type="pct"/>
            <w:gridSpan w:val="2"/>
            <w:shd w:val="clear" w:color="auto" w:fill="C0C0C0"/>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bCs/>
                <w:sz w:val="18"/>
                <w:szCs w:val="18"/>
              </w:rPr>
            </w:pPr>
            <w:r w:rsidRPr="0033296B">
              <w:rPr>
                <w:rFonts w:ascii="Verdana" w:eastAsia="Times New Roman" w:hAnsi="Verdana" w:cs="Times New Roman"/>
                <w:b/>
                <w:bCs/>
                <w:sz w:val="18"/>
                <w:szCs w:val="18"/>
              </w:rPr>
              <w:t>Organisation, datakilder og forskning</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der faglig enighed og opbakning til databasen/de valgte indikatorer?</w:t>
            </w:r>
          </w:p>
        </w:tc>
        <w:tc>
          <w:tcPr>
            <w:tcW w:w="2547"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alle berørte regioner klinisk repræsenteret i styregruppen</w:t>
            </w: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ja</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nej</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hvis ”nej”, beskriv manglende repræsentation:</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alle involverede autoriserede faggrupper repræsenteret i styregruppen</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lastRenderedPageBreak/>
              <w:t>X</w:t>
            </w:r>
            <w:r w:rsidRPr="0033296B">
              <w:rPr>
                <w:rFonts w:ascii="Verdana" w:eastAsia="Times New Roman" w:hAnsi="Verdana" w:cs="Times New Roman"/>
                <w:sz w:val="18"/>
                <w:szCs w:val="18"/>
              </w:rPr>
              <w:t xml:space="preserve">    ja</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nej</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Hvis ”nej” angiv involverede faggrupper ikke repræsenteret</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alle involverede specialer repræsenteret i styregruppen</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ja</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nej</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Hvis ”nej”  angiv berørte specialer ikke repræsenteret</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databasens styregruppe enige om, at indikatorsættet er relevant til monitorering af behandlingskvaliteten</w:t>
            </w: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ja</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nej</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Hvis ”nej” beskriv mangler ved indikatorsættet og evt. planer for udbedring af disse</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Indberetter alle behandlingsenheder (afdelinger, sygehuse, praksis, kommuner)/regioner systematisk til databasen:</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 xml:space="preserve">  </w:t>
            </w:r>
            <w:r w:rsidRPr="0033296B">
              <w:rPr>
                <w:rFonts w:ascii="Verdana" w:eastAsia="Times New Roman" w:hAnsi="Verdana" w:cs="Times New Roman"/>
                <w:sz w:val="18"/>
                <w:szCs w:val="18"/>
              </w:rPr>
              <w:t xml:space="preserve">   ja</w:t>
            </w: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nej</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Hvis ”nej” beskriv antallet af enheder, der systematisk ikke indberetter – og evt. kendt begrundelse for manglende indberetning</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 xml:space="preserve">Der indberettes systematisk fra alle hospitalsenheder. For almen praksis afventes  aftale omkring genoprettelse af dataindberetning fra diabetesbehandlingen i denne sektor. Indtil slut 2014 indrapporteredes data  fra et støt stigende antal praktiserende læger, hvor over 1700 af i alt </w:t>
            </w:r>
            <w:proofErr w:type="spellStart"/>
            <w:r w:rsidRPr="0033296B">
              <w:rPr>
                <w:rFonts w:ascii="Verdana" w:eastAsia="Times New Roman" w:hAnsi="Verdana" w:cs="Tahoma"/>
                <w:color w:val="FF0000"/>
                <w:sz w:val="18"/>
                <w:szCs w:val="18"/>
              </w:rPr>
              <w:t>ca</w:t>
            </w:r>
            <w:proofErr w:type="spellEnd"/>
            <w:r w:rsidRPr="0033296B">
              <w:rPr>
                <w:rFonts w:ascii="Verdana" w:eastAsia="Times New Roman" w:hAnsi="Verdana" w:cs="Tahoma"/>
                <w:color w:val="FF0000"/>
                <w:sz w:val="18"/>
                <w:szCs w:val="18"/>
              </w:rPr>
              <w:t xml:space="preserve"> 2000 praksis indberettede til databasen i 2014. Næsten alle var tilmeldt indberetningssystemet. </w:t>
            </w:r>
          </w:p>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 xml:space="preserve">Databasens styregruppe har flere gange understreget vigtigheden af at få belyst kvaliteten af behandlingen af diabetes i almen praksis, hvor langt de fleste patiner med type 2 diabetes aktuelt følges. </w:t>
            </w:r>
          </w:p>
          <w:p w:rsidR="0033296B" w:rsidRPr="0033296B" w:rsidRDefault="0033296B" w:rsidP="0033296B">
            <w:pPr>
              <w:spacing w:after="0" w:line="280" w:lineRule="atLeast"/>
              <w:rPr>
                <w:rFonts w:ascii="Verdana" w:eastAsia="Times New Roman" w:hAnsi="Verdana" w:cs="Tahoma"/>
                <w:color w:val="FF0000"/>
                <w:sz w:val="18"/>
                <w:szCs w:val="18"/>
              </w:rPr>
            </w:pP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lastRenderedPageBreak/>
              <w:t>Er der regional opbakning til databasen/hvis relevant: er der opbakning fra Kommunernes Landsforening (tværsektorielle databaser)</w:t>
            </w:r>
          </w:p>
        </w:tc>
        <w:tc>
          <w:tcPr>
            <w:tcW w:w="2547" w:type="pct"/>
            <w:shd w:val="clear" w:color="auto" w:fill="C0C0C0"/>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Udfyldes af RKKP ved høring af de regionale medlemmer af RKKP-bestyrelsen hhv. KL)</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 xml:space="preserve">Bredde i databasen – hvilke af de flg. dimensioner er dækket af indikatorsættet </w:t>
            </w:r>
          </w:p>
          <w:p w:rsidR="0033296B" w:rsidRPr="0033296B" w:rsidRDefault="0033296B" w:rsidP="0033296B">
            <w:pPr>
              <w:spacing w:after="0" w:line="280" w:lineRule="atLeast"/>
              <w:rPr>
                <w:rFonts w:ascii="Verdana" w:eastAsia="Times New Roman" w:hAnsi="Verdana" w:cs="Arial"/>
                <w:iCs/>
                <w:sz w:val="18"/>
                <w:szCs w:val="18"/>
                <w:lang w:val="en-GB"/>
              </w:rPr>
            </w:pPr>
            <w:r w:rsidRPr="0033296B">
              <w:rPr>
                <w:rFonts w:ascii="Verdana" w:eastAsia="Times New Roman" w:hAnsi="Verdana" w:cs="Arial"/>
                <w:iCs/>
                <w:sz w:val="18"/>
                <w:szCs w:val="18"/>
                <w:lang w:val="en-GB"/>
              </w:rPr>
              <w:t>(Institute of Medicine-</w:t>
            </w:r>
            <w:proofErr w:type="spellStart"/>
            <w:r w:rsidRPr="0033296B">
              <w:rPr>
                <w:rFonts w:ascii="Verdana" w:eastAsia="Times New Roman" w:hAnsi="Verdana" w:cs="Arial"/>
                <w:iCs/>
                <w:sz w:val="18"/>
                <w:szCs w:val="18"/>
                <w:lang w:val="en-GB"/>
              </w:rPr>
              <w:t>domæne</w:t>
            </w:r>
            <w:proofErr w:type="spellEnd"/>
          </w:p>
          <w:p w:rsidR="0033296B" w:rsidRPr="0033296B" w:rsidRDefault="0033296B" w:rsidP="0033296B">
            <w:pPr>
              <w:spacing w:after="0" w:line="280" w:lineRule="atLeast"/>
              <w:rPr>
                <w:rFonts w:ascii="Verdana" w:eastAsia="Times New Roman" w:hAnsi="Verdana" w:cs="Times New Roman"/>
                <w:sz w:val="18"/>
                <w:szCs w:val="18"/>
                <w:lang w:val="en-GB"/>
              </w:rPr>
            </w:pPr>
            <w:r w:rsidRPr="0033296B">
              <w:rPr>
                <w:rFonts w:ascii="Verdana" w:eastAsia="Times New Roman" w:hAnsi="Verdana" w:cs="Times New Roman"/>
                <w:sz w:val="18"/>
                <w:szCs w:val="18"/>
                <w:lang w:val="en-GB"/>
              </w:rPr>
              <w:t>Institute of Medicine. Crossing the quality chasm: a new health system for the 21st century. Washington (DC): National Academy Press; 2001. Go to: http://www.nap.edu/books/0309072808/html)</w:t>
            </w:r>
          </w:p>
        </w:tc>
        <w:tc>
          <w:tcPr>
            <w:tcW w:w="2547" w:type="pct"/>
            <w:tcMar>
              <w:top w:w="0" w:type="dxa"/>
              <w:left w:w="108" w:type="dxa"/>
              <w:bottom w:w="0" w:type="dxa"/>
              <w:right w:w="108" w:type="dxa"/>
            </w:tcMar>
          </w:tcPr>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efterlevelse af evidensbaseret praksis</w:t>
            </w: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lighed: Lige adgang/samme kvalitet</w:t>
            </w:r>
          </w:p>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patientsikkerhed </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 xml:space="preserve">patientoplevet sundhedseffekt </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 xml:space="preserve">rettidighed: </w:t>
            </w:r>
            <w:proofErr w:type="spellStart"/>
            <w:r w:rsidRPr="0033296B">
              <w:rPr>
                <w:rFonts w:ascii="Verdana" w:eastAsia="Times New Roman" w:hAnsi="Verdana" w:cs="Times New Roman"/>
                <w:sz w:val="18"/>
                <w:szCs w:val="18"/>
              </w:rPr>
              <w:t>delay</w:t>
            </w:r>
            <w:proofErr w:type="spellEnd"/>
            <w:r w:rsidRPr="0033296B">
              <w:rPr>
                <w:rFonts w:ascii="Verdana" w:eastAsia="Times New Roman" w:hAnsi="Verdana" w:cs="Times New Roman"/>
                <w:sz w:val="18"/>
                <w:szCs w:val="18"/>
              </w:rPr>
              <w:t>, ventetider</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omkostningseffektivitet</w:t>
            </w:r>
          </w:p>
          <w:p w:rsidR="0033296B" w:rsidRPr="0033296B" w:rsidRDefault="0033296B" w:rsidP="0033296B">
            <w:pPr>
              <w:spacing w:after="0" w:line="280" w:lineRule="atLeast"/>
              <w:rPr>
                <w:rFonts w:ascii="Verdana" w:eastAsia="Times New Roman" w:hAnsi="Verdana" w:cs="Times New Roman"/>
                <w:sz w:val="18"/>
                <w:szCs w:val="18"/>
              </w:rPr>
            </w:pP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der nationale kliniske retningslinjer på området?</w:t>
            </w:r>
          </w:p>
        </w:tc>
        <w:tc>
          <w:tcPr>
            <w:tcW w:w="2547" w:type="pct"/>
            <w:tcMar>
              <w:top w:w="0" w:type="dxa"/>
              <w:left w:w="108" w:type="dxa"/>
              <w:bottom w:w="0" w:type="dxa"/>
              <w:right w:w="108" w:type="dxa"/>
            </w:tcMar>
          </w:tcPr>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Ja, for hele området</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Nej</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Ja, for dele af området</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Hvis ”ja, for dele af området”, beskriv områder, der ikke er dækket:</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shd w:val="clear" w:color="auto" w:fill="FFFF00"/>
              </w:rPr>
            </w:pPr>
          </w:p>
        </w:tc>
      </w:tr>
      <w:tr w:rsidR="0033296B" w:rsidRPr="0033296B" w:rsidTr="0033296B">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lastRenderedPageBreak/>
              <w:t>Er der forskningspotentiale i databasen?</w:t>
            </w:r>
          </w:p>
        </w:tc>
        <w:tc>
          <w:tcPr>
            <w:tcW w:w="2547" w:type="pct"/>
            <w:tcBorders>
              <w:bottom w:val="single" w:sz="4" w:space="0" w:color="auto"/>
            </w:tcBorders>
            <w:tcMar>
              <w:top w:w="0" w:type="dxa"/>
              <w:left w:w="108" w:type="dxa"/>
              <w:bottom w:w="0" w:type="dxa"/>
              <w:right w:w="108" w:type="dxa"/>
            </w:tcMar>
          </w:tcPr>
          <w:p w:rsidR="0033296B" w:rsidRPr="0033296B" w:rsidRDefault="0033296B" w:rsidP="0033296B">
            <w:pPr>
              <w:tabs>
                <w:tab w:val="left" w:pos="480"/>
                <w:tab w:val="left" w:pos="960"/>
                <w:tab w:val="left" w:pos="1440"/>
                <w:tab w:val="left" w:pos="1920"/>
                <w:tab w:val="left" w:pos="2400"/>
                <w:tab w:val="left" w:pos="2880"/>
                <w:tab w:val="left" w:pos="3360"/>
                <w:tab w:val="left" w:pos="3840"/>
                <w:tab w:val="left" w:pos="4320"/>
              </w:tabs>
              <w:spacing w:after="0" w:line="280" w:lineRule="atLeast"/>
              <w:rPr>
                <w:rFonts w:ascii="Verdana" w:eastAsia="Times New Roman" w:hAnsi="Verdana" w:cs="Times New Roman"/>
                <w:color w:val="FF0000"/>
                <w:sz w:val="18"/>
                <w:szCs w:val="18"/>
              </w:rPr>
            </w:pPr>
            <w:r w:rsidRPr="0033296B">
              <w:rPr>
                <w:rFonts w:ascii="Verdana" w:eastAsia="Times New Roman" w:hAnsi="Verdana" w:cs="Times New Roman"/>
                <w:color w:val="FF0000"/>
                <w:sz w:val="18"/>
                <w:szCs w:val="18"/>
              </w:rPr>
              <w:t xml:space="preserve">Projekt vedr. at få valideret og beskrevet diabetespopulationen </w:t>
            </w:r>
          </w:p>
          <w:p w:rsidR="0033296B" w:rsidRPr="0033296B" w:rsidRDefault="0033296B" w:rsidP="0033296B">
            <w:pPr>
              <w:spacing w:after="0" w:line="280" w:lineRule="atLeast"/>
              <w:rPr>
                <w:rFonts w:ascii="Verdana" w:eastAsia="Times New Roman" w:hAnsi="Verdana" w:cs="Times New Roman"/>
                <w:color w:val="FF0000"/>
                <w:sz w:val="18"/>
                <w:szCs w:val="18"/>
              </w:rPr>
            </w:pPr>
            <w:r w:rsidRPr="0033296B">
              <w:rPr>
                <w:rFonts w:ascii="Verdana" w:eastAsia="Times New Roman" w:hAnsi="Verdana" w:cs="Times New Roman"/>
                <w:color w:val="FF0000"/>
                <w:sz w:val="18"/>
                <w:szCs w:val="18"/>
              </w:rPr>
              <w:t>kvalitetsbrist i diabetesbehandlingen ved overgangen fra børne- til voksenregi</w:t>
            </w:r>
          </w:p>
          <w:p w:rsidR="0033296B" w:rsidRPr="0033296B" w:rsidRDefault="0033296B" w:rsidP="0033296B">
            <w:pPr>
              <w:spacing w:after="0" w:line="280" w:lineRule="atLeast"/>
              <w:rPr>
                <w:rFonts w:ascii="Verdana" w:eastAsia="Times New Roman" w:hAnsi="Verdana" w:cs="Times New Roman"/>
                <w:color w:val="FF0000"/>
                <w:sz w:val="18"/>
                <w:szCs w:val="18"/>
                <w:lang w:val="en-US"/>
              </w:rPr>
            </w:pPr>
            <w:proofErr w:type="spellStart"/>
            <w:r w:rsidRPr="0033296B">
              <w:rPr>
                <w:rFonts w:ascii="Verdana" w:eastAsia="Times New Roman" w:hAnsi="Verdana" w:cs="Times New Roman"/>
                <w:color w:val="FF0000"/>
                <w:sz w:val="18"/>
                <w:szCs w:val="18"/>
                <w:lang w:val="en-US"/>
              </w:rPr>
              <w:t>projektet</w:t>
            </w:r>
            <w:proofErr w:type="spellEnd"/>
            <w:r w:rsidRPr="0033296B">
              <w:rPr>
                <w:rFonts w:ascii="Verdana" w:eastAsia="Times New Roman" w:hAnsi="Verdana" w:cs="Times New Roman"/>
                <w:color w:val="FF0000"/>
                <w:sz w:val="18"/>
                <w:szCs w:val="18"/>
                <w:lang w:val="en-US"/>
              </w:rPr>
              <w:t>: ”Quality of care for medical comorbidities among patients with schizophrenia”.’</w:t>
            </w:r>
          </w:p>
          <w:p w:rsidR="0033296B" w:rsidRPr="0033296B" w:rsidRDefault="0033296B" w:rsidP="0033296B">
            <w:pPr>
              <w:spacing w:after="0" w:line="280" w:lineRule="atLeast"/>
              <w:rPr>
                <w:rFonts w:ascii="Verdana" w:eastAsia="Times New Roman" w:hAnsi="Verdana" w:cs="Times New Roman"/>
                <w:color w:val="FF0000"/>
                <w:sz w:val="18"/>
                <w:szCs w:val="18"/>
              </w:rPr>
            </w:pPr>
            <w:r w:rsidRPr="0033296B">
              <w:rPr>
                <w:rFonts w:ascii="Verdana" w:eastAsia="Times New Roman" w:hAnsi="Verdana" w:cs="Times New Roman"/>
                <w:color w:val="FF0000"/>
                <w:sz w:val="18"/>
                <w:szCs w:val="18"/>
              </w:rPr>
              <w:t>Diabetes, diabeteskomplikationer og dødelighed hos etniske minoriteter i Danmark – betydningen af socioøkonomiske forhold og  forskelle i behandlingskvalitet</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color w:val="FF0000"/>
                <w:sz w:val="18"/>
                <w:szCs w:val="18"/>
              </w:rPr>
              <w:t xml:space="preserve">projektet ” "Orale </w:t>
            </w:r>
            <w:proofErr w:type="spellStart"/>
            <w:r w:rsidRPr="0033296B">
              <w:rPr>
                <w:rFonts w:ascii="Verdana" w:eastAsia="Times New Roman" w:hAnsi="Verdana" w:cs="Times New Roman"/>
                <w:color w:val="FF0000"/>
                <w:sz w:val="18"/>
                <w:szCs w:val="18"/>
              </w:rPr>
              <w:t>antidiabetikas</w:t>
            </w:r>
            <w:proofErr w:type="spellEnd"/>
            <w:r w:rsidRPr="0033296B">
              <w:rPr>
                <w:rFonts w:ascii="Verdana" w:eastAsia="Times New Roman" w:hAnsi="Verdana" w:cs="Times New Roman"/>
                <w:color w:val="FF0000"/>
                <w:sz w:val="18"/>
                <w:szCs w:val="18"/>
              </w:rPr>
              <w:t xml:space="preserve"> betydning for udvikling af affektive lidelser"</w:t>
            </w:r>
          </w:p>
          <w:p w:rsidR="0033296B" w:rsidRPr="0033296B" w:rsidRDefault="0033296B" w:rsidP="0033296B">
            <w:pPr>
              <w:spacing w:after="0" w:line="280" w:lineRule="atLeast"/>
              <w:rPr>
                <w:rFonts w:ascii="Verdana" w:eastAsia="Times New Roman" w:hAnsi="Verdana" w:cs="Times New Roman"/>
                <w:sz w:val="18"/>
                <w:szCs w:val="18"/>
              </w:rPr>
            </w:pPr>
          </w:p>
        </w:tc>
      </w:tr>
      <w:tr w:rsidR="0033296B" w:rsidRPr="0033296B" w:rsidTr="0033296B">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Er der sundhedspolitisk fokus på området?</w:t>
            </w:r>
          </w:p>
        </w:tc>
        <w:tc>
          <w:tcPr>
            <w:tcW w:w="2547" w:type="pct"/>
            <w:shd w:val="clear" w:color="auto" w:fill="FFFFFF" w:themeFill="background1"/>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Pr>
                <w:rFonts w:ascii="Verdana" w:eastAsia="Times New Roman" w:hAnsi="Verdana" w:cs="Times New Roman"/>
                <w:sz w:val="18"/>
                <w:szCs w:val="18"/>
              </w:rPr>
              <w:t>Hvis der ikke sker udfyldelse ved databasen/RKKP-team vil ske en vurdering af sekretariatet &amp; prioriteringsgruppe ved behandling af ansøgning.</w:t>
            </w:r>
          </w:p>
        </w:tc>
      </w:tr>
      <w:tr w:rsidR="0033296B" w:rsidRPr="0033296B" w:rsidTr="00E72438">
        <w:tc>
          <w:tcPr>
            <w:tcW w:w="5000" w:type="pct"/>
            <w:gridSpan w:val="2"/>
            <w:shd w:val="clear" w:color="auto" w:fill="C0C0C0"/>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b/>
                <w:bCs/>
                <w:sz w:val="18"/>
                <w:szCs w:val="18"/>
              </w:rPr>
            </w:pPr>
            <w:r w:rsidRPr="0033296B">
              <w:rPr>
                <w:rFonts w:ascii="Verdana" w:eastAsia="Times New Roman" w:hAnsi="Verdana" w:cs="Times New Roman"/>
                <w:b/>
                <w:bCs/>
                <w:sz w:val="18"/>
                <w:szCs w:val="18"/>
              </w:rPr>
              <w:t xml:space="preserve">Status (udfyldes kun af databaser, der har eksisteret i min. 2 år) </w:t>
            </w:r>
          </w:p>
        </w:tc>
      </w:tr>
      <w:tr w:rsidR="0033296B" w:rsidRPr="0033296B" w:rsidTr="00E72438">
        <w:tc>
          <w:tcPr>
            <w:tcW w:w="2453"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b/>
                <w:sz w:val="18"/>
                <w:szCs w:val="18"/>
              </w:rPr>
              <w:t>Justering af indikatorsæt</w:t>
            </w:r>
            <w:r w:rsidRPr="0033296B">
              <w:rPr>
                <w:rFonts w:ascii="Verdana" w:eastAsia="Times New Roman" w:hAnsi="Verdana" w:cs="Times New Roman"/>
                <w:sz w:val="18"/>
                <w:szCs w:val="18"/>
              </w:rPr>
              <w:t xml:space="preserve"> </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sz w:val="18"/>
                <w:szCs w:val="18"/>
              </w:rPr>
              <w:t>Hvornår blev det eksisterende indikatorsæt udviklet/senest justeret?</w:t>
            </w:r>
          </w:p>
        </w:tc>
        <w:tc>
          <w:tcPr>
            <w:tcW w:w="2547" w:type="pct"/>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color w:val="FF0000"/>
                <w:sz w:val="18"/>
                <w:szCs w:val="18"/>
              </w:rPr>
              <w:t xml:space="preserve">DVDD udviklede sit første indikatorsæt i 2005, der senest er blevet revideret i 2016.  </w:t>
            </w:r>
          </w:p>
        </w:tc>
      </w:tr>
      <w:tr w:rsidR="0033296B" w:rsidRPr="0033296B" w:rsidTr="00E72438">
        <w:trPr>
          <w:trHeight w:val="2288"/>
        </w:trPr>
        <w:tc>
          <w:tcPr>
            <w:tcW w:w="2453"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Sker der løbende afrapportering af data?</w:t>
            </w:r>
          </w:p>
        </w:tc>
        <w:tc>
          <w:tcPr>
            <w:tcW w:w="2547" w:type="pct"/>
            <w:shd w:val="clear" w:color="auto" w:fill="F3F3F3"/>
            <w:tcMar>
              <w:top w:w="0" w:type="dxa"/>
              <w:left w:w="108" w:type="dxa"/>
              <w:bottom w:w="0" w:type="dxa"/>
              <w:right w:w="108" w:type="dxa"/>
            </w:tcMar>
          </w:tcPr>
          <w:p w:rsidR="0033296B" w:rsidRPr="0033296B" w:rsidRDefault="0033296B" w:rsidP="0033296B">
            <w:pPr>
              <w:spacing w:after="0" w:line="280" w:lineRule="atLeast"/>
              <w:ind w:left="360"/>
              <w:rPr>
                <w:rFonts w:ascii="Verdana" w:eastAsia="Times New Roman" w:hAnsi="Verdana" w:cs="Times New Roman"/>
                <w:sz w:val="18"/>
                <w:szCs w:val="18"/>
              </w:rPr>
            </w:pPr>
            <w:r w:rsidRPr="0033296B">
              <w:rPr>
                <w:rFonts w:ascii="Verdana" w:eastAsia="Times New Roman" w:hAnsi="Verdana" w:cs="Times New Roman"/>
                <w:color w:val="FF0000"/>
                <w:sz w:val="18"/>
                <w:szCs w:val="18"/>
                <w:bdr w:val="single" w:sz="4" w:space="0" w:color="auto"/>
              </w:rPr>
              <w:t>X</w:t>
            </w:r>
            <w:r w:rsidRPr="0033296B">
              <w:rPr>
                <w:rFonts w:ascii="Verdana" w:eastAsia="Times New Roman" w:hAnsi="Verdana" w:cs="Times New Roman"/>
                <w:sz w:val="18"/>
                <w:szCs w:val="18"/>
              </w:rPr>
              <w:t xml:space="preserve">   Via generisk model</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Til deltagende afdelinger via indberetningsmodulet</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I ad hoc rapporter opdateret månedligt/kvartalsvist</w:t>
            </w:r>
          </w:p>
          <w:p w:rsidR="0033296B" w:rsidRPr="0033296B" w:rsidRDefault="0033296B" w:rsidP="0033296B">
            <w:pPr>
              <w:numPr>
                <w:ilvl w:val="0"/>
                <w:numId w:val="1"/>
              </w:num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Andet, beskriv</w:t>
            </w: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sz w:val="18"/>
                <w:szCs w:val="18"/>
              </w:rPr>
              <w:t>________________________________</w:t>
            </w:r>
          </w:p>
          <w:p w:rsidR="0033296B" w:rsidRPr="0033296B" w:rsidRDefault="0033296B" w:rsidP="0033296B">
            <w:pPr>
              <w:spacing w:after="0" w:line="280" w:lineRule="atLeast"/>
              <w:rPr>
                <w:rFonts w:ascii="Verdana" w:eastAsia="Times New Roman" w:hAnsi="Verdana" w:cs="Times New Roman"/>
                <w:sz w:val="18"/>
                <w:szCs w:val="18"/>
              </w:rPr>
            </w:pPr>
          </w:p>
        </w:tc>
      </w:tr>
      <w:tr w:rsidR="0033296B" w:rsidRPr="0033296B" w:rsidTr="00E72438">
        <w:trPr>
          <w:trHeight w:val="2288"/>
        </w:trPr>
        <w:tc>
          <w:tcPr>
            <w:tcW w:w="2453"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imes New Roman"/>
                <w:b/>
                <w:sz w:val="18"/>
                <w:szCs w:val="18"/>
              </w:rPr>
              <w:t>Effekt af database?</w:t>
            </w:r>
            <w:r w:rsidRPr="0033296B">
              <w:rPr>
                <w:rFonts w:ascii="Verdana" w:eastAsia="Times New Roman" w:hAnsi="Verdana" w:cs="Times New Roman"/>
                <w:sz w:val="18"/>
                <w:szCs w:val="18"/>
              </w:rPr>
              <w:t xml:space="preserve"> </w:t>
            </w:r>
          </w:p>
          <w:p w:rsidR="0033296B" w:rsidRPr="0033296B" w:rsidRDefault="0033296B" w:rsidP="0033296B">
            <w:pPr>
              <w:spacing w:after="0" w:line="280" w:lineRule="atLeast"/>
              <w:rPr>
                <w:rFonts w:ascii="Verdana" w:eastAsia="Times New Roman" w:hAnsi="Verdana" w:cs="Times New Roman"/>
                <w:b/>
                <w:sz w:val="18"/>
                <w:szCs w:val="18"/>
              </w:rPr>
            </w:pPr>
            <w:r w:rsidRPr="0033296B">
              <w:rPr>
                <w:rFonts w:ascii="Verdana" w:eastAsia="Times New Roman" w:hAnsi="Verdana" w:cs="Times New Roman"/>
                <w:sz w:val="18"/>
                <w:szCs w:val="18"/>
              </w:rPr>
              <w:t>Beskriv databasens resultater over de seneste tre år i forhold kvalitetsforbedring og udligning af variation mellem afdelinger (ift. proces- og resultatindikatorresultater) samt evt. afdækkede strukturelle kvalitetsbrist.</w:t>
            </w:r>
          </w:p>
        </w:tc>
        <w:tc>
          <w:tcPr>
            <w:tcW w:w="2547" w:type="pct"/>
            <w:shd w:val="clear" w:color="auto" w:fill="F3F3F3"/>
            <w:tcMar>
              <w:top w:w="0" w:type="dxa"/>
              <w:left w:w="108" w:type="dxa"/>
              <w:bottom w:w="0" w:type="dxa"/>
              <w:right w:w="108" w:type="dxa"/>
            </w:tcMar>
          </w:tcPr>
          <w:p w:rsidR="0033296B" w:rsidRPr="0033296B" w:rsidRDefault="0033296B" w:rsidP="0033296B">
            <w:pPr>
              <w:spacing w:after="0" w:line="280" w:lineRule="atLeast"/>
              <w:rPr>
                <w:rFonts w:ascii="Verdana" w:eastAsia="Times New Roman" w:hAnsi="Verdana" w:cs="Tahoma"/>
                <w:color w:val="FF0000"/>
                <w:sz w:val="18"/>
                <w:szCs w:val="18"/>
              </w:rPr>
            </w:pPr>
            <w:r w:rsidRPr="0033296B">
              <w:rPr>
                <w:rFonts w:ascii="Verdana" w:eastAsia="Times New Roman" w:hAnsi="Verdana" w:cs="Tahoma"/>
                <w:color w:val="FF0000"/>
                <w:sz w:val="18"/>
                <w:szCs w:val="18"/>
              </w:rPr>
              <w:t xml:space="preserve">Gennemførelse af de udvalgte procesindikatorer er en forudsætning for at patienterne kan modtage den nødvendige og tilstrækkelige behandling og forebyggende kontrol for at undgå senkomplikationer (måling af HbA1c, blodtryk, kolesterol, undersøgelse for </w:t>
            </w:r>
            <w:proofErr w:type="spellStart"/>
            <w:r w:rsidRPr="0033296B">
              <w:rPr>
                <w:rFonts w:ascii="Verdana" w:eastAsia="Times New Roman" w:hAnsi="Verdana" w:cs="Tahoma"/>
                <w:color w:val="FF0000"/>
                <w:sz w:val="18"/>
                <w:szCs w:val="18"/>
              </w:rPr>
              <w:t>urinalbuminuri</w:t>
            </w:r>
            <w:proofErr w:type="spellEnd"/>
            <w:r w:rsidRPr="0033296B">
              <w:rPr>
                <w:rFonts w:ascii="Verdana" w:eastAsia="Times New Roman" w:hAnsi="Verdana" w:cs="Tahoma"/>
                <w:color w:val="FF0000"/>
                <w:sz w:val="18"/>
                <w:szCs w:val="18"/>
              </w:rPr>
              <w:t xml:space="preserve">, øjenscreening, fodundersøgelse). Kvalitetsopfyldelsen af disse processer har været stigende gennem årene og </w:t>
            </w:r>
            <w:r w:rsidRPr="0033296B">
              <w:rPr>
                <w:rFonts w:ascii="Verdana" w:eastAsia="Times New Roman" w:hAnsi="Verdana" w:cs="Tahoma"/>
                <w:color w:val="FF0000"/>
                <w:sz w:val="18"/>
                <w:szCs w:val="18"/>
              </w:rPr>
              <w:lastRenderedPageBreak/>
              <w:t xml:space="preserve">der kan nu ikke længere ses interregional variation på området. Dog er der til stadighed </w:t>
            </w:r>
            <w:proofErr w:type="spellStart"/>
            <w:r w:rsidRPr="0033296B">
              <w:rPr>
                <w:rFonts w:ascii="Verdana" w:eastAsia="Times New Roman" w:hAnsi="Verdana" w:cs="Tahoma"/>
                <w:color w:val="FF0000"/>
                <w:sz w:val="18"/>
                <w:szCs w:val="18"/>
              </w:rPr>
              <w:t>intraregional</w:t>
            </w:r>
            <w:proofErr w:type="spellEnd"/>
            <w:r w:rsidRPr="0033296B">
              <w:rPr>
                <w:rFonts w:ascii="Verdana" w:eastAsia="Times New Roman" w:hAnsi="Verdana" w:cs="Tahoma"/>
                <w:color w:val="FF0000"/>
                <w:sz w:val="18"/>
                <w:szCs w:val="18"/>
              </w:rPr>
              <w:t xml:space="preserve"> variation, hvorfor der fortsættes med monitorering på disse områder.</w:t>
            </w:r>
          </w:p>
          <w:p w:rsidR="0033296B" w:rsidRPr="0033296B" w:rsidRDefault="0033296B" w:rsidP="0033296B">
            <w:pPr>
              <w:spacing w:after="0" w:line="280" w:lineRule="atLeast"/>
              <w:rPr>
                <w:rFonts w:ascii="Verdana" w:eastAsia="Times New Roman" w:hAnsi="Verdana" w:cs="Tahoma"/>
                <w:color w:val="FF0000"/>
                <w:sz w:val="18"/>
                <w:szCs w:val="18"/>
              </w:rPr>
            </w:pPr>
          </w:p>
          <w:p w:rsidR="0033296B" w:rsidRPr="0033296B" w:rsidRDefault="0033296B" w:rsidP="0033296B">
            <w:pPr>
              <w:spacing w:after="0" w:line="280" w:lineRule="atLeast"/>
              <w:rPr>
                <w:rFonts w:ascii="Verdana" w:eastAsia="Times New Roman" w:hAnsi="Verdana" w:cs="Times New Roman"/>
                <w:sz w:val="18"/>
                <w:szCs w:val="18"/>
              </w:rPr>
            </w:pPr>
            <w:r w:rsidRPr="0033296B">
              <w:rPr>
                <w:rFonts w:ascii="Verdana" w:eastAsia="Times New Roman" w:hAnsi="Verdana" w:cs="Tahoma"/>
                <w:color w:val="FF0000"/>
                <w:sz w:val="18"/>
                <w:szCs w:val="18"/>
              </w:rPr>
              <w:t>Der har været anvendt mange forskellige procedurer og metoder til monitorering af udvikling af nyresygdom, hvor DVDD har indført standardiserede målemetoder i et samarbejde med Dansk Selskab for Klinisk Biokemi og mikrobiologi og retningslinjerne på området. Afrapporteringen fra DVDD kan nu afspejle om disse efterleves.</w:t>
            </w:r>
          </w:p>
        </w:tc>
      </w:tr>
    </w:tbl>
    <w:p w:rsidR="0033296B" w:rsidRPr="0033296B" w:rsidRDefault="0033296B" w:rsidP="0033296B">
      <w:pPr>
        <w:spacing w:after="0" w:line="280" w:lineRule="atLeast"/>
        <w:rPr>
          <w:rFonts w:ascii="Verdana" w:eastAsia="Times New Roman" w:hAnsi="Verdana" w:cs="Times New Roman"/>
          <w:b/>
          <w:sz w:val="18"/>
          <w:szCs w:val="18"/>
        </w:rPr>
      </w:pPr>
    </w:p>
    <w:p w:rsidR="00CC38A9" w:rsidRDefault="00CC38A9">
      <w:pPr>
        <w:spacing w:line="276" w:lineRule="auto"/>
      </w:pPr>
      <w:r>
        <w:br w:type="page"/>
      </w:r>
    </w:p>
    <w:p w:rsidR="00AD344E" w:rsidRDefault="00CC38A9" w:rsidP="00014E2A">
      <w:pPr>
        <w:pStyle w:val="Listeafsnit"/>
        <w:spacing w:after="0"/>
        <w:ind w:left="0"/>
        <w:rPr>
          <w:b/>
        </w:rPr>
      </w:pPr>
      <w:r w:rsidRPr="00CC38A9">
        <w:rPr>
          <w:b/>
        </w:rPr>
        <w:lastRenderedPageBreak/>
        <w:t>Appendiks 1</w:t>
      </w:r>
      <w:r>
        <w:rPr>
          <w:b/>
        </w:rPr>
        <w:t xml:space="preserve"> – anvendelse af konceptet</w:t>
      </w:r>
    </w:p>
    <w:p w:rsidR="00CC38A9" w:rsidRPr="00CC38A9" w:rsidRDefault="00CC38A9" w:rsidP="00CC38A9">
      <w:pPr>
        <w:suppressAutoHyphens/>
        <w:spacing w:after="0" w:line="280" w:lineRule="atLeast"/>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Udmøntning af midler og ydelser fra </w:t>
      </w:r>
      <w:proofErr w:type="spellStart"/>
      <w:r>
        <w:rPr>
          <w:rFonts w:ascii="Verdana" w:eastAsia="Times New Roman" w:hAnsi="Verdana" w:cs="Times New Roman"/>
          <w:sz w:val="18"/>
          <w:szCs w:val="18"/>
          <w:lang w:eastAsia="ar-SA"/>
        </w:rPr>
        <w:t>RKKP's</w:t>
      </w:r>
      <w:proofErr w:type="spellEnd"/>
      <w:r>
        <w:rPr>
          <w:rFonts w:ascii="Verdana" w:eastAsia="Times New Roman" w:hAnsi="Verdana" w:cs="Times New Roman"/>
          <w:sz w:val="18"/>
          <w:szCs w:val="18"/>
          <w:lang w:eastAsia="ar-SA"/>
        </w:rPr>
        <w:t xml:space="preserve"> pulje</w:t>
      </w:r>
      <w:r w:rsidRPr="00CC38A9">
        <w:rPr>
          <w:rFonts w:ascii="Verdana" w:eastAsia="Times New Roman" w:hAnsi="Verdana" w:cs="Times New Roman"/>
          <w:sz w:val="18"/>
          <w:szCs w:val="18"/>
          <w:lang w:eastAsia="ar-SA"/>
        </w:rPr>
        <w:t xml:space="preserve"> er baseret på et prioriteringskoncept, hvor formålet er, at kunne prioritere databaserne med udgangspunkt i deres anvendelighed til kvalitetsforbedring af fx behandlingspraksis. Brug af konceptet til databaseprioritering har skullet sikre, at der forefindes en uddybende beskrivelse af databasen som supplement til ansøgningsskemaet som grundlag for bestyrelsens prioritering. Beskrivelsen har bestået af bl.a. et grundigt overblik over den forventede effekt af databasedrift på området herunder, hvilke kvalitetsbrist/-forskelle databasen berører.</w:t>
      </w:r>
    </w:p>
    <w:p w:rsidR="00CC38A9" w:rsidRPr="00CC38A9" w:rsidRDefault="00CC38A9" w:rsidP="00CC38A9">
      <w:pPr>
        <w:spacing w:after="0" w:line="280" w:lineRule="atLeast"/>
        <w:rPr>
          <w:rFonts w:ascii="Verdana" w:eastAsia="Times New Roman" w:hAnsi="Verdana" w:cs="Times New Roman"/>
          <w:sz w:val="18"/>
          <w:szCs w:val="18"/>
          <w:lang w:eastAsia="ar-SA"/>
        </w:rPr>
      </w:pPr>
    </w:p>
    <w:p w:rsidR="00CC38A9" w:rsidRPr="00CC38A9" w:rsidRDefault="00CC38A9" w:rsidP="00CC38A9">
      <w:pPr>
        <w:suppressAutoHyphens/>
        <w:spacing w:after="0" w:line="280" w:lineRule="atLeast"/>
        <w:rPr>
          <w:rFonts w:ascii="Verdana" w:eastAsia="Times New Roman" w:hAnsi="Verdana" w:cs="Times New Roman"/>
          <w:sz w:val="18"/>
          <w:szCs w:val="18"/>
          <w:lang w:eastAsia="ar-SA"/>
        </w:rPr>
      </w:pPr>
      <w:r w:rsidRPr="00CC38A9">
        <w:rPr>
          <w:rFonts w:ascii="Verdana" w:eastAsia="Times New Roman" w:hAnsi="Verdana" w:cs="Times New Roman"/>
          <w:sz w:val="18"/>
          <w:szCs w:val="18"/>
          <w:lang w:eastAsia="ar-SA"/>
        </w:rPr>
        <w:t xml:space="preserve">I prioritering af </w:t>
      </w:r>
      <w:r>
        <w:rPr>
          <w:rFonts w:ascii="Verdana" w:eastAsia="Times New Roman" w:hAnsi="Verdana" w:cs="Times New Roman"/>
          <w:sz w:val="18"/>
          <w:szCs w:val="18"/>
          <w:lang w:eastAsia="ar-SA"/>
        </w:rPr>
        <w:t>alle</w:t>
      </w:r>
      <w:r w:rsidRPr="00CC38A9">
        <w:rPr>
          <w:rFonts w:ascii="Verdana" w:eastAsia="Times New Roman" w:hAnsi="Verdana" w:cs="Times New Roman"/>
          <w:sz w:val="18"/>
          <w:szCs w:val="18"/>
          <w:lang w:eastAsia="ar-SA"/>
        </w:rPr>
        <w:t xml:space="preserve"> databaser </w:t>
      </w:r>
      <w:r>
        <w:rPr>
          <w:rFonts w:ascii="Verdana" w:eastAsia="Times New Roman" w:hAnsi="Verdana" w:cs="Times New Roman"/>
          <w:sz w:val="18"/>
          <w:szCs w:val="18"/>
          <w:lang w:eastAsia="ar-SA"/>
        </w:rPr>
        <w:t xml:space="preserve">tages </w:t>
      </w:r>
      <w:r w:rsidRPr="00CC38A9">
        <w:rPr>
          <w:rFonts w:ascii="Verdana" w:eastAsia="Times New Roman" w:hAnsi="Verdana" w:cs="Times New Roman"/>
          <w:sz w:val="18"/>
          <w:szCs w:val="18"/>
          <w:lang w:eastAsia="ar-SA"/>
        </w:rPr>
        <w:t>udgangspunkt i en scoring af databasen ift. de nedenstående kriterier fra prioriteringskonceptet – derudover er besluttet, at kun nye databaser, der direkte imødekommer de fastsatte udviklingsmål for databaser (</w:t>
      </w:r>
      <w:hyperlink r:id="rId10" w:history="1">
        <w:r w:rsidRPr="00CC38A9">
          <w:rPr>
            <w:rFonts w:ascii="Verdana" w:eastAsia="Times New Roman" w:hAnsi="Verdana" w:cs="Times New Roman"/>
            <w:sz w:val="18"/>
            <w:szCs w:val="18"/>
            <w:lang w:eastAsia="ar-SA"/>
          </w:rPr>
          <w:t>http://www.rkkp.dk/om-rkkp/udviklingsmal-2015/</w:t>
        </w:r>
      </w:hyperlink>
      <w:r w:rsidRPr="00CC38A9">
        <w:rPr>
          <w:rFonts w:ascii="Verdana" w:eastAsia="Times New Roman" w:hAnsi="Verdana" w:cs="Times New Roman"/>
          <w:sz w:val="18"/>
          <w:szCs w:val="18"/>
          <w:lang w:eastAsia="ar-SA"/>
        </w:rPr>
        <w:t xml:space="preserve">) kan prioriteres. </w:t>
      </w:r>
      <w:r>
        <w:rPr>
          <w:rFonts w:ascii="Verdana" w:eastAsia="Times New Roman" w:hAnsi="Verdana" w:cs="Times New Roman"/>
          <w:sz w:val="18"/>
          <w:szCs w:val="18"/>
          <w:lang w:eastAsia="ar-SA"/>
        </w:rPr>
        <w:t xml:space="preserve">Her har været særligt </w:t>
      </w:r>
      <w:r w:rsidRPr="00CC38A9">
        <w:rPr>
          <w:rFonts w:ascii="Verdana" w:eastAsia="Times New Roman" w:hAnsi="Verdana" w:cs="Times New Roman"/>
          <w:sz w:val="18"/>
          <w:szCs w:val="18"/>
          <w:lang w:eastAsia="ar-SA"/>
        </w:rPr>
        <w:t>fokus på, om databaserne dækker den samlede sygdomstilstand og ikke kun én del af behandlingen.</w:t>
      </w:r>
    </w:p>
    <w:p w:rsidR="00CC38A9" w:rsidRPr="00CC38A9" w:rsidRDefault="00CC38A9" w:rsidP="00CC38A9">
      <w:pPr>
        <w:suppressAutoHyphens/>
        <w:spacing w:after="0" w:line="280" w:lineRule="atLeast"/>
        <w:rPr>
          <w:rFonts w:ascii="Verdana" w:eastAsia="Times New Roman" w:hAnsi="Verdana" w:cs="Times New Roman"/>
          <w:sz w:val="18"/>
          <w:szCs w:val="18"/>
          <w:lang w:eastAsia="ar-SA"/>
        </w:rPr>
      </w:pPr>
    </w:p>
    <w:p w:rsidR="00CC38A9" w:rsidRPr="00CC38A9" w:rsidRDefault="00CC38A9" w:rsidP="00CC38A9">
      <w:pPr>
        <w:suppressAutoHyphens/>
        <w:spacing w:after="0" w:line="280" w:lineRule="atLeast"/>
        <w:rPr>
          <w:rFonts w:ascii="Verdana" w:eastAsia="Times New Roman" w:hAnsi="Verdana" w:cs="Times New Roman"/>
          <w:sz w:val="18"/>
          <w:szCs w:val="18"/>
          <w:lang w:eastAsia="ar-SA"/>
        </w:rPr>
      </w:pPr>
      <w:r w:rsidRPr="00CC38A9">
        <w:rPr>
          <w:rFonts w:ascii="Verdana" w:eastAsia="Times New Roman" w:hAnsi="Verdana" w:cs="Times New Roman"/>
          <w:sz w:val="18"/>
          <w:szCs w:val="18"/>
          <w:lang w:eastAsia="ar-SA"/>
        </w:rPr>
        <w:t xml:space="preserve">Som det fremgår i scoringen, er der bl.a. lagt vægt på den potentielle kliniske effekt af databasen samt om databaserne er tværsektorielle. Derudover er inddraget forskningspotentialet i databaserne. </w:t>
      </w:r>
    </w:p>
    <w:p w:rsidR="00CC38A9" w:rsidRPr="00CC38A9" w:rsidRDefault="00CC38A9" w:rsidP="00CC38A9">
      <w:pPr>
        <w:suppressAutoHyphens/>
        <w:spacing w:after="0" w:line="280" w:lineRule="atLeast"/>
        <w:rPr>
          <w:rFonts w:ascii="Verdana" w:eastAsia="Times New Roman" w:hAnsi="Verdana" w:cs="Times New Roman"/>
          <w:sz w:val="18"/>
          <w:szCs w:val="18"/>
          <w:lang w:eastAsia="ar-SA"/>
        </w:rPr>
      </w:pPr>
    </w:p>
    <w:p w:rsidR="00CC38A9" w:rsidRPr="00CC38A9" w:rsidRDefault="00CC38A9" w:rsidP="00CC38A9">
      <w:p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Scoringselementer</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Tværfaglighed (10 point for én profession; 25 point for to/flere)</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Antal sektorer dækket (50-150 point: 50 point for sekundærsektoren; 50 for primær og 50 for kommuner)</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Betydning for monitorering af private aktører (0,10,25 point)</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Klinisk effekt</w:t>
      </w:r>
    </w:p>
    <w:p w:rsidR="00CC38A9" w:rsidRPr="00CC38A9" w:rsidRDefault="00CC38A9" w:rsidP="00CC38A9">
      <w:pPr>
        <w:numPr>
          <w:ilvl w:val="1"/>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Effekt gående 3-10 år tilbage (0-10 point)</w:t>
      </w:r>
    </w:p>
    <w:p w:rsidR="00CC38A9" w:rsidRPr="00CC38A9" w:rsidRDefault="00CC38A9" w:rsidP="00CC38A9">
      <w:pPr>
        <w:numPr>
          <w:ilvl w:val="1"/>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Effekt gående 0-3 år tilbage (0-25 point)</w:t>
      </w:r>
    </w:p>
    <w:p w:rsidR="00CC38A9" w:rsidRPr="00CC38A9" w:rsidRDefault="00CC38A9" w:rsidP="00CC38A9">
      <w:pPr>
        <w:numPr>
          <w:ilvl w:val="1"/>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Vurderet forbedringspotentiale/forventet klinisk effekt fremadrettet (0,10,25,50 point; for nye databaser dobbelt op)</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Databasens anvendelse til bedømmelse af behandlingsindikation (0,10,25,50 point)</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Vurdering om databasen dækker den samlede behandling af tilstanden - alene fastsat ift. dækkede sektorer. (Teoretisk 0, 50, 100 point, men i praksis 50, 100)</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Eksistensen af kliniske retningslinjer inden for databasens dækningsområde (nationale – ikke skelet til om der er tale om sundhedsstyrelse- eller selskabs-retningslinjer), (0,25, 50 point)</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Forskningspotentiale (0,10,25,50 point)</w:t>
      </w:r>
    </w:p>
    <w:p w:rsidR="00CC38A9" w:rsidRPr="00CC38A9" w:rsidRDefault="00CC38A9" w:rsidP="00CC38A9">
      <w:pPr>
        <w:numPr>
          <w:ilvl w:val="0"/>
          <w:numId w:val="3"/>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Indført fra 2018: Indikatorsættets dækning (50 point for resultatindikatorer; 30 for proces; 20 for strukturindikatorer)</w:t>
      </w:r>
    </w:p>
    <w:p w:rsidR="00CC38A9" w:rsidRPr="00CC38A9" w:rsidRDefault="00CC38A9" w:rsidP="00CC38A9">
      <w:pPr>
        <w:suppressAutoHyphens/>
        <w:spacing w:after="0" w:line="280" w:lineRule="atLeast"/>
        <w:rPr>
          <w:rFonts w:ascii="Verdana" w:eastAsia="Times New Roman" w:hAnsi="Verdana" w:cs="Times New Roman"/>
          <w:iCs/>
          <w:sz w:val="18"/>
          <w:szCs w:val="18"/>
          <w:lang w:eastAsia="ar-SA"/>
        </w:rPr>
      </w:pPr>
    </w:p>
    <w:p w:rsidR="00CC38A9" w:rsidRPr="00CC38A9" w:rsidRDefault="00CC38A9" w:rsidP="00CC38A9">
      <w:p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 xml:space="preserve">Så </w:t>
      </w:r>
      <w:r>
        <w:rPr>
          <w:rFonts w:ascii="Verdana" w:eastAsia="Times New Roman" w:hAnsi="Verdana" w:cs="Times New Roman"/>
          <w:iCs/>
          <w:sz w:val="18"/>
          <w:szCs w:val="18"/>
          <w:lang w:eastAsia="ar-SA"/>
        </w:rPr>
        <w:t>gives f</w:t>
      </w:r>
      <w:r w:rsidRPr="00CC38A9">
        <w:rPr>
          <w:rFonts w:ascii="Verdana" w:eastAsia="Times New Roman" w:hAnsi="Verdana" w:cs="Times New Roman"/>
          <w:iCs/>
          <w:sz w:val="18"/>
          <w:szCs w:val="18"/>
          <w:lang w:eastAsia="ar-SA"/>
        </w:rPr>
        <w:t>radrag for følgende forhold:</w:t>
      </w:r>
    </w:p>
    <w:p w:rsidR="00CC38A9" w:rsidRPr="00CC38A9" w:rsidRDefault="00CC38A9" w:rsidP="00CC38A9">
      <w:pPr>
        <w:numPr>
          <w:ilvl w:val="0"/>
          <w:numId w:val="5"/>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Manglende løbende afrapportering: -50, hvis manglende afrapportering til ledelsesniveau; -100 hvis manglende løbende afrapportering til klinikken</w:t>
      </w:r>
    </w:p>
    <w:p w:rsidR="00CC38A9" w:rsidRPr="00CC38A9" w:rsidRDefault="00CC38A9" w:rsidP="00CC38A9">
      <w:pPr>
        <w:numPr>
          <w:ilvl w:val="0"/>
          <w:numId w:val="5"/>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Høj grad af manuel indrapportering: -50 point</w:t>
      </w:r>
    </w:p>
    <w:p w:rsidR="00CC38A9" w:rsidRPr="00CC38A9" w:rsidRDefault="00CC38A9" w:rsidP="00CC38A9">
      <w:p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 </w:t>
      </w:r>
    </w:p>
    <w:p w:rsidR="00CC38A9" w:rsidRPr="00CC38A9" w:rsidRDefault="00CC38A9" w:rsidP="00CC38A9">
      <w:p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lastRenderedPageBreak/>
        <w:t>Andre hensyn, som fremgår af prioriteringskonceptet, men som ikke er inddraget i scoren er:</w:t>
      </w:r>
    </w:p>
    <w:p w:rsidR="00CC38A9" w:rsidRPr="00CC38A9" w:rsidRDefault="00CC38A9" w:rsidP="00CC38A9">
      <w:pPr>
        <w:numPr>
          <w:ilvl w:val="0"/>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Sygdommens alvorlighed – faktoren blev opgivet i den praktiske scoring på baggrund af en konstatering af, at det ikke er nyttigt at drøfte hvad der er mest alvorlig: ti personer med hoftebrud eller to med velreguleret type 1-diabetes.</w:t>
      </w:r>
    </w:p>
    <w:p w:rsidR="00CC38A9" w:rsidRPr="00CC38A9" w:rsidRDefault="00CC38A9" w:rsidP="00CC38A9">
      <w:pPr>
        <w:numPr>
          <w:ilvl w:val="0"/>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 xml:space="preserve">Dækkede IOM-dimensioner af indikatoren. De faktiske besvarelser på spørgsmålene viste manglende forståelse af kriterierne. </w:t>
      </w:r>
    </w:p>
    <w:p w:rsidR="00CC38A9" w:rsidRPr="00CC38A9" w:rsidRDefault="00CC38A9" w:rsidP="00CC38A9">
      <w:pPr>
        <w:numPr>
          <w:ilvl w:val="0"/>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Faglig enighed/uenighed – meget svært at vurdere, og i sidste ende er det en ”</w:t>
      </w:r>
      <w:proofErr w:type="spellStart"/>
      <w:r w:rsidRPr="00CC38A9">
        <w:rPr>
          <w:rFonts w:ascii="Verdana" w:eastAsia="Times New Roman" w:hAnsi="Verdana" w:cs="Times New Roman"/>
          <w:iCs/>
          <w:sz w:val="18"/>
          <w:szCs w:val="18"/>
          <w:lang w:eastAsia="ar-SA"/>
        </w:rPr>
        <w:t>dealbreaker</w:t>
      </w:r>
      <w:proofErr w:type="spellEnd"/>
      <w:r w:rsidRPr="00CC38A9">
        <w:rPr>
          <w:rFonts w:ascii="Verdana" w:eastAsia="Times New Roman" w:hAnsi="Verdana" w:cs="Times New Roman"/>
          <w:iCs/>
          <w:sz w:val="18"/>
          <w:szCs w:val="18"/>
          <w:lang w:eastAsia="ar-SA"/>
        </w:rPr>
        <w:t>”, hvis der er kendt faglig uenighed, vil en database aldrig kunne prioriteres.</w:t>
      </w:r>
    </w:p>
    <w:p w:rsidR="00CC38A9" w:rsidRPr="00CC38A9" w:rsidRDefault="00CC38A9" w:rsidP="00CC38A9">
      <w:pPr>
        <w:numPr>
          <w:ilvl w:val="0"/>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Om:</w:t>
      </w:r>
    </w:p>
    <w:p w:rsidR="00CC38A9" w:rsidRPr="00CC38A9" w:rsidRDefault="00CC38A9" w:rsidP="00CC38A9">
      <w:pPr>
        <w:numPr>
          <w:ilvl w:val="1"/>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 xml:space="preserve">en database for området kan anvendes til at belyse kvaliteten på specialiserede funktioner i Sundhedsstyrelsens specialeplan </w:t>
      </w:r>
    </w:p>
    <w:p w:rsidR="00CC38A9" w:rsidRPr="00CC38A9" w:rsidRDefault="00CC38A9" w:rsidP="00CC38A9">
      <w:pPr>
        <w:numPr>
          <w:ilvl w:val="1"/>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 xml:space="preserve">området dækket af databasen indgår i nationalt vedtagne planer (kræftplaner, hjerteplaner) </w:t>
      </w:r>
      <w:proofErr w:type="spellStart"/>
      <w:r w:rsidRPr="00CC38A9">
        <w:rPr>
          <w:rFonts w:ascii="Verdana" w:eastAsia="Times New Roman" w:hAnsi="Verdana" w:cs="Times New Roman"/>
          <w:iCs/>
          <w:sz w:val="18"/>
          <w:szCs w:val="18"/>
          <w:lang w:eastAsia="ar-SA"/>
        </w:rPr>
        <w:t>incl</w:t>
      </w:r>
      <w:proofErr w:type="spellEnd"/>
      <w:r w:rsidRPr="00CC38A9">
        <w:rPr>
          <w:rFonts w:ascii="Verdana" w:eastAsia="Times New Roman" w:hAnsi="Verdana" w:cs="Times New Roman"/>
          <w:iCs/>
          <w:sz w:val="18"/>
          <w:szCs w:val="18"/>
          <w:lang w:eastAsia="ar-SA"/>
        </w:rPr>
        <w:t xml:space="preserve">. </w:t>
      </w:r>
      <w:proofErr w:type="spellStart"/>
      <w:r w:rsidRPr="00CC38A9">
        <w:rPr>
          <w:rFonts w:ascii="Verdana" w:eastAsia="Times New Roman" w:hAnsi="Verdana" w:cs="Times New Roman"/>
          <w:iCs/>
          <w:sz w:val="18"/>
          <w:szCs w:val="18"/>
          <w:lang w:eastAsia="ar-SA"/>
        </w:rPr>
        <w:t>Sundhedstyrelsens</w:t>
      </w:r>
      <w:proofErr w:type="spellEnd"/>
      <w:r w:rsidRPr="00CC38A9">
        <w:rPr>
          <w:rFonts w:ascii="Verdana" w:eastAsia="Times New Roman" w:hAnsi="Verdana" w:cs="Times New Roman"/>
          <w:iCs/>
          <w:sz w:val="18"/>
          <w:szCs w:val="18"/>
          <w:lang w:eastAsia="ar-SA"/>
        </w:rPr>
        <w:t xml:space="preserve"> kliniske retningslinjer </w:t>
      </w:r>
    </w:p>
    <w:p w:rsidR="00CC38A9" w:rsidRPr="00CC38A9" w:rsidRDefault="00CC38A9" w:rsidP="00CC38A9">
      <w:pPr>
        <w:numPr>
          <w:ilvl w:val="0"/>
          <w:numId w:val="4"/>
        </w:numPr>
        <w:suppressAutoHyphens/>
        <w:spacing w:after="0" w:line="280" w:lineRule="atLeast"/>
        <w:rPr>
          <w:rFonts w:ascii="Verdana" w:eastAsia="Times New Roman" w:hAnsi="Verdana" w:cs="Times New Roman"/>
          <w:iCs/>
          <w:sz w:val="18"/>
          <w:szCs w:val="18"/>
          <w:lang w:eastAsia="ar-SA"/>
        </w:rPr>
      </w:pPr>
      <w:r w:rsidRPr="00CC38A9">
        <w:rPr>
          <w:rFonts w:ascii="Verdana" w:eastAsia="Times New Roman" w:hAnsi="Verdana" w:cs="Times New Roman"/>
          <w:iCs/>
          <w:sz w:val="18"/>
          <w:szCs w:val="18"/>
          <w:lang w:eastAsia="ar-SA"/>
        </w:rPr>
        <w:t>Muligheden for at anvende andre metoder til kvalitetsmonitorering end databaser</w:t>
      </w:r>
    </w:p>
    <w:p w:rsidR="00CC38A9" w:rsidRPr="00CC38A9" w:rsidRDefault="00CC38A9" w:rsidP="00CC38A9">
      <w:pPr>
        <w:suppressAutoHyphens/>
        <w:spacing w:after="0" w:line="280" w:lineRule="atLeast"/>
        <w:rPr>
          <w:rFonts w:ascii="Verdana" w:eastAsia="Times New Roman" w:hAnsi="Verdana" w:cs="Times New Roman"/>
          <w:b/>
          <w:iCs/>
          <w:sz w:val="18"/>
          <w:szCs w:val="18"/>
          <w:lang w:eastAsia="ar-SA"/>
        </w:rPr>
      </w:pPr>
    </w:p>
    <w:p w:rsidR="00CC38A9" w:rsidRPr="00CC38A9" w:rsidRDefault="00CC38A9" w:rsidP="00CC38A9">
      <w:pPr>
        <w:pStyle w:val="Listeafsnit"/>
        <w:spacing w:after="0"/>
        <w:ind w:left="0"/>
        <w:rPr>
          <w:b/>
        </w:rPr>
      </w:pPr>
      <w:r w:rsidRPr="00CC38A9">
        <w:rPr>
          <w:rFonts w:ascii="Verdana" w:eastAsia="Times New Roman" w:hAnsi="Verdana" w:cs="Times New Roman"/>
          <w:sz w:val="18"/>
          <w:szCs w:val="18"/>
          <w:lang w:eastAsia="ar-SA"/>
        </w:rPr>
        <w:t xml:space="preserve">Disse forhold </w:t>
      </w:r>
      <w:r>
        <w:rPr>
          <w:rFonts w:ascii="Verdana" w:eastAsia="Times New Roman" w:hAnsi="Verdana" w:cs="Times New Roman"/>
          <w:sz w:val="18"/>
          <w:szCs w:val="18"/>
          <w:lang w:eastAsia="ar-SA"/>
        </w:rPr>
        <w:t>indgår</w:t>
      </w:r>
      <w:r w:rsidRPr="00CC38A9">
        <w:rPr>
          <w:rFonts w:ascii="Verdana" w:eastAsia="Times New Roman" w:hAnsi="Verdana" w:cs="Times New Roman"/>
          <w:sz w:val="18"/>
          <w:szCs w:val="18"/>
          <w:lang w:eastAsia="ar-SA"/>
        </w:rPr>
        <w:t xml:space="preserve"> altså ikke i score, men </w:t>
      </w:r>
      <w:r>
        <w:rPr>
          <w:rFonts w:ascii="Verdana" w:eastAsia="Times New Roman" w:hAnsi="Verdana" w:cs="Times New Roman"/>
          <w:sz w:val="18"/>
          <w:szCs w:val="18"/>
          <w:lang w:eastAsia="ar-SA"/>
        </w:rPr>
        <w:t>inddrages</w:t>
      </w:r>
      <w:r w:rsidRPr="00CC38A9">
        <w:rPr>
          <w:rFonts w:ascii="Verdana" w:eastAsia="Times New Roman" w:hAnsi="Verdana" w:cs="Times New Roman"/>
          <w:sz w:val="18"/>
          <w:szCs w:val="18"/>
          <w:lang w:eastAsia="ar-SA"/>
        </w:rPr>
        <w:t xml:space="preserve"> i den samlede vurdering foretaget</w:t>
      </w:r>
      <w:r w:rsidRPr="00CC38A9">
        <w:rPr>
          <w:rFonts w:ascii="Verdana" w:eastAsia="Times New Roman" w:hAnsi="Verdana" w:cs="Times New Roman"/>
          <w:sz w:val="18"/>
          <w:szCs w:val="18"/>
        </w:rPr>
        <w:t xml:space="preserve"> på baggrund af sagsbehandling i </w:t>
      </w:r>
      <w:proofErr w:type="spellStart"/>
      <w:r w:rsidRPr="00CC38A9">
        <w:rPr>
          <w:rFonts w:ascii="Verdana" w:eastAsia="Times New Roman" w:hAnsi="Verdana" w:cs="Times New Roman"/>
          <w:sz w:val="18"/>
          <w:szCs w:val="18"/>
        </w:rPr>
        <w:t>RKKP's</w:t>
      </w:r>
      <w:proofErr w:type="spellEnd"/>
      <w:r w:rsidRPr="00CC38A9">
        <w:rPr>
          <w:rFonts w:ascii="Verdana" w:eastAsia="Times New Roman" w:hAnsi="Verdana" w:cs="Times New Roman"/>
          <w:sz w:val="18"/>
          <w:szCs w:val="18"/>
        </w:rPr>
        <w:t xml:space="preserve"> ledelsessekretariat og behandling i en prioriteringsgruppe bestående af repræsentanter for fagligt </w:t>
      </w:r>
      <w:r>
        <w:rPr>
          <w:rFonts w:ascii="Verdana" w:eastAsia="Times New Roman" w:hAnsi="Verdana" w:cs="Times New Roman"/>
          <w:sz w:val="18"/>
          <w:szCs w:val="18"/>
        </w:rPr>
        <w:t>råd og observatør fra Sundhedsdatastyrelsen</w:t>
      </w:r>
      <w:r w:rsidRPr="00CC38A9">
        <w:rPr>
          <w:rFonts w:ascii="Verdana" w:eastAsia="Times New Roman" w:hAnsi="Verdana" w:cs="Times New Roman"/>
          <w:sz w:val="18"/>
          <w:szCs w:val="18"/>
          <w:lang w:eastAsia="ar-SA"/>
        </w:rPr>
        <w:t xml:space="preserve">. </w:t>
      </w:r>
    </w:p>
    <w:sectPr w:rsidR="00CC38A9" w:rsidRPr="00CC38A9" w:rsidSect="00F17080">
      <w:footerReference w:type="default" r:id="rId11"/>
      <w:headerReference w:type="first" r:id="rId12"/>
      <w:pgSz w:w="11907" w:h="16840" w:code="9"/>
      <w:pgMar w:top="2098" w:right="1827" w:bottom="19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6B" w:rsidRDefault="0033296B" w:rsidP="0033296B">
      <w:pPr>
        <w:spacing w:after="0"/>
      </w:pPr>
      <w:r>
        <w:separator/>
      </w:r>
    </w:p>
  </w:endnote>
  <w:endnote w:type="continuationSeparator" w:id="0">
    <w:p w:rsidR="0033296B" w:rsidRDefault="0033296B" w:rsidP="0033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9B" w:rsidRPr="001F284B" w:rsidRDefault="0033296B" w:rsidP="004D570E">
    <w:pPr>
      <w:pStyle w:val="Sidefod"/>
      <w:jc w:val="right"/>
      <w:rPr>
        <w:rFonts w:ascii="Calibri" w:hAnsi="Calibri"/>
        <w:b/>
        <w:sz w:val="22"/>
      </w:rPr>
    </w:pPr>
    <w:r>
      <w:rPr>
        <w:noProof/>
        <w:lang w:eastAsia="da-DK"/>
      </w:rPr>
      <w:drawing>
        <wp:inline distT="0" distB="0" distL="0" distR="0">
          <wp:extent cx="3863340" cy="1074420"/>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340" cy="1074420"/>
                  </a:xfrm>
                  <a:prstGeom prst="rect">
                    <a:avLst/>
                  </a:prstGeom>
                  <a:noFill/>
                  <a:ln>
                    <a:noFill/>
                  </a:ln>
                </pic:spPr>
              </pic:pic>
            </a:graphicData>
          </a:graphic>
        </wp:inline>
      </w:drawing>
    </w:r>
    <w:r>
      <w:rPr>
        <w:noProof/>
        <w:lang w:eastAsia="da-DK"/>
      </w:rPr>
      <mc:AlternateContent>
        <mc:Choice Requires="wps">
          <w:drawing>
            <wp:anchor distT="0" distB="0" distL="114300" distR="114300" simplePos="0" relativeHeight="251658240" behindDoc="0" locked="1" layoutInCell="1" allowOverlap="0">
              <wp:simplePos x="0" y="0"/>
              <wp:positionH relativeFrom="page">
                <wp:posOffset>2891790</wp:posOffset>
              </wp:positionH>
              <wp:positionV relativeFrom="page">
                <wp:posOffset>10133330</wp:posOffset>
              </wp:positionV>
              <wp:extent cx="1835785" cy="230505"/>
              <wp:effectExtent l="0" t="0" r="12065" b="1714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C9B" w:rsidRPr="004D570E" w:rsidRDefault="0033296B" w:rsidP="000800AC">
                          <w:pPr>
                            <w:pStyle w:val="Informationer"/>
                            <w:spacing w:line="280" w:lineRule="atLeast"/>
                            <w:ind w:left="1304"/>
                            <w:jc w:val="both"/>
                            <w:rPr>
                              <w:rFonts w:ascii="Calibri" w:hAnsi="Calibri"/>
                              <w:sz w:val="18"/>
                            </w:rPr>
                          </w:pPr>
                          <w:r w:rsidRPr="004D570E">
                            <w:rPr>
                              <w:rFonts w:ascii="Calibri" w:hAnsi="Calibri"/>
                              <w:sz w:val="18"/>
                            </w:rPr>
                            <w:t xml:space="preserve">Side </w:t>
                          </w:r>
                          <w:r w:rsidRPr="004D570E">
                            <w:rPr>
                              <w:rStyle w:val="Sidetal"/>
                              <w:rFonts w:ascii="Calibri" w:eastAsiaTheme="majorEastAsia" w:hAnsi="Calibri"/>
                              <w:sz w:val="18"/>
                            </w:rPr>
                            <w:fldChar w:fldCharType="begin"/>
                          </w:r>
                          <w:r w:rsidRPr="004D570E">
                            <w:rPr>
                              <w:rStyle w:val="Sidetal"/>
                              <w:rFonts w:ascii="Calibri" w:eastAsiaTheme="majorEastAsia" w:hAnsi="Calibri"/>
                              <w:sz w:val="18"/>
                            </w:rPr>
                            <w:instrText xml:space="preserve"> PAGE </w:instrText>
                          </w:r>
                          <w:r w:rsidRPr="004D570E">
                            <w:rPr>
                              <w:rStyle w:val="Sidetal"/>
                              <w:rFonts w:ascii="Calibri" w:eastAsiaTheme="majorEastAsia" w:hAnsi="Calibri"/>
                              <w:sz w:val="18"/>
                            </w:rPr>
                            <w:fldChar w:fldCharType="separate"/>
                          </w:r>
                          <w:r w:rsidR="00D324BA">
                            <w:rPr>
                              <w:rStyle w:val="Sidetal"/>
                              <w:rFonts w:ascii="Calibri" w:eastAsiaTheme="majorEastAsia" w:hAnsi="Calibri"/>
                              <w:noProof/>
                              <w:sz w:val="18"/>
                            </w:rPr>
                            <w:t>9</w:t>
                          </w:r>
                          <w:r w:rsidRPr="004D570E">
                            <w:rPr>
                              <w:rStyle w:val="Sidetal"/>
                              <w:rFonts w:ascii="Calibri" w:eastAsiaTheme="majorEastAsia" w:hAnsi="Calibr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227.7pt;margin-top:797.9pt;width:144.55pt;height:1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iHrgIAAKoFAAAOAAAAZHJzL2Uyb0RvYy54bWysVG1vmzAQ/j5p/8Hyd8pLIQFUUrUhTJO6&#10;F6ndDzBggjWwme2EdNP++84mpGmrSdM2PliHfX7unrvHd3V96Du0p1IxwTPsX3gYUV6JmvFthr88&#10;FE6MkdKE16QTnGb4kSp8vXr75mocUhqIVnQ1lQhAuErHIcOt1kPquqpqaU/UhRgoh8NGyJ5o+JVb&#10;t5ZkBPS+cwPPW7ijkPUgRUWVgt18OsQri980tNKfmkZRjboMQ27artKupVnd1RVJt5IMLauOaZC/&#10;yKInjEPQE1RONEE7yV5B9aySQolGX1Sid0XTsIpaDsDG916wuW/JQC0XKI4aTmVS/w+2+rj/LBGr&#10;MxxixEkPLXqgX5UuxVeFQlOecVApeN0P4KcPt+IAbbZU1XAnKvDiYt0SvqU3UoqxpaSG9Hxz0z27&#10;OuEoA1KOH0QNcchOCwt0aGRvagfVQIAObXo8tYYeNKpMyPgyWsYRRhWcBZde5EU2BEnn24NU+h0V&#10;PTJGhiW03qKT/Z3SJhuSzi4mGBcF6zrb/o4/2wDHaQdiw1VzZrKw3fyReMkm3sShEwaLjRN6ee7c&#10;FOvQWRT+Msov8/U693+auH6YtqyuKTdhZmX54Z917qjxSRMnbSnRsdrAmZSU3JbrTqI9AWUX9jsW&#10;5MzNfZ6GLQJweUHJD0LvNkicYhEvnbAIIydZerHj+cltsvDCJMyL55TuGKf/TgmNGU6iIJrE9Ftu&#10;nv1ecyNpzzTMjo71GY5PTiQ1Etzw2rZWE9ZN9lkpTPpPpYB2z422gjUandSqD+UBUIyKS1E/gnSl&#10;AGWBPmHggdEK+R2jEYZHhtW3HZEUo+49B/mbSTMbcjbK2SC8gqsZ1hhN5lpPE2k3SLZtAXl6YFzc&#10;wBNpmFXvUxbHhwUDwZI4Di8zcc7/rdfTiF39AgAA//8DAFBLAwQUAAYACAAAACEA9HejieIAAAAN&#10;AQAADwAAAGRycy9kb3ducmV2LnhtbEyPwU7DMBBE70j8g7VI3KjTEgca4lQVghMSahoOHJ3YTazG&#10;6xC7bfh7lhMcd+ZpdqbYzG5gZzMF61HCcpEAM9h6bbGT8FG/3j0CC1GhVoNHI+HbBNiU11eFyrW/&#10;YGXO+9gxCsGQKwl9jGPOeWh741RY+NEgeQc/ORXpnDquJ3WhcDfwVZJk3CmL9KFXo3nuTXvcn5yE&#10;7SdWL/brvdlVh8rW9TrBt+wo5e3NvH0CFs0c/2D4rU/VoaROjT+hDmyQkAqREkqGWAsaQchDmgpg&#10;DUnZ/WoJvCz4/xXlDwAAAP//AwBQSwECLQAUAAYACAAAACEAtoM4kv4AAADhAQAAEwAAAAAAAAAA&#10;AAAAAAAAAAAAW0NvbnRlbnRfVHlwZXNdLnhtbFBLAQItABQABgAIAAAAIQA4/SH/1gAAAJQBAAAL&#10;AAAAAAAAAAAAAAAAAC8BAABfcmVscy8ucmVsc1BLAQItABQABgAIAAAAIQA0uOiHrgIAAKoFAAAO&#10;AAAAAAAAAAAAAAAAAC4CAABkcnMvZTJvRG9jLnhtbFBLAQItABQABgAIAAAAIQD0d6OJ4gAAAA0B&#10;AAAPAAAAAAAAAAAAAAAAAAgFAABkcnMvZG93bnJldi54bWxQSwUGAAAAAAQABADzAAAAFwYAAAAA&#10;" o:allowoverlap="f" filled="f" stroked="f">
              <v:textbox inset="0,0,0,0">
                <w:txbxContent>
                  <w:p w:rsidR="00000C9B" w:rsidRPr="004D570E" w:rsidRDefault="0033296B" w:rsidP="000800AC">
                    <w:pPr>
                      <w:pStyle w:val="Informationer"/>
                      <w:spacing w:line="280" w:lineRule="atLeast"/>
                      <w:ind w:left="1304"/>
                      <w:jc w:val="both"/>
                      <w:rPr>
                        <w:rFonts w:ascii="Calibri" w:hAnsi="Calibri"/>
                        <w:sz w:val="18"/>
                      </w:rPr>
                    </w:pPr>
                    <w:r w:rsidRPr="004D570E">
                      <w:rPr>
                        <w:rFonts w:ascii="Calibri" w:hAnsi="Calibri"/>
                        <w:sz w:val="18"/>
                      </w:rPr>
                      <w:t xml:space="preserve">Side </w:t>
                    </w:r>
                    <w:r w:rsidRPr="004D570E">
                      <w:rPr>
                        <w:rStyle w:val="Sidetal"/>
                        <w:rFonts w:ascii="Calibri" w:eastAsiaTheme="majorEastAsia" w:hAnsi="Calibri"/>
                        <w:sz w:val="18"/>
                      </w:rPr>
                      <w:fldChar w:fldCharType="begin"/>
                    </w:r>
                    <w:r w:rsidRPr="004D570E">
                      <w:rPr>
                        <w:rStyle w:val="Sidetal"/>
                        <w:rFonts w:ascii="Calibri" w:eastAsiaTheme="majorEastAsia" w:hAnsi="Calibri"/>
                        <w:sz w:val="18"/>
                      </w:rPr>
                      <w:instrText xml:space="preserve"> PAGE </w:instrText>
                    </w:r>
                    <w:r w:rsidRPr="004D570E">
                      <w:rPr>
                        <w:rStyle w:val="Sidetal"/>
                        <w:rFonts w:ascii="Calibri" w:eastAsiaTheme="majorEastAsia" w:hAnsi="Calibri"/>
                        <w:sz w:val="18"/>
                      </w:rPr>
                      <w:fldChar w:fldCharType="separate"/>
                    </w:r>
                    <w:r w:rsidR="00D324BA">
                      <w:rPr>
                        <w:rStyle w:val="Sidetal"/>
                        <w:rFonts w:ascii="Calibri" w:eastAsiaTheme="majorEastAsia" w:hAnsi="Calibri"/>
                        <w:noProof/>
                        <w:sz w:val="18"/>
                      </w:rPr>
                      <w:t>9</w:t>
                    </w:r>
                    <w:r w:rsidRPr="004D570E">
                      <w:rPr>
                        <w:rStyle w:val="Sidetal"/>
                        <w:rFonts w:ascii="Calibri" w:eastAsiaTheme="majorEastAsia" w:hAnsi="Calibri"/>
                        <w:sz w:val="18"/>
                      </w:rPr>
                      <w:fldChar w:fldCharType="end"/>
                    </w:r>
                  </w:p>
                </w:txbxContent>
              </v:textbox>
              <w10:wrap anchorx="page" anchory="page"/>
              <w10:anchorlock/>
            </v:shape>
          </w:pict>
        </mc:Fallback>
      </mc:AlternateContent>
    </w:r>
    <w:r w:rsidRPr="001F284B">
      <w:rPr>
        <w:snapToGrid w:val="0"/>
        <w:color w:val="000000"/>
        <w:w w:val="0"/>
        <w:sz w:val="2"/>
        <w:u w:color="000000"/>
        <w:bdr w:val="none" w:sz="0" w:space="0" w:color="000000"/>
        <w:shd w:val="clear" w:color="000000" w:fill="000000"/>
        <w:lang w:val="x-none"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6B" w:rsidRDefault="0033296B" w:rsidP="0033296B">
      <w:pPr>
        <w:spacing w:after="0"/>
      </w:pPr>
      <w:r>
        <w:separator/>
      </w:r>
    </w:p>
  </w:footnote>
  <w:footnote w:type="continuationSeparator" w:id="0">
    <w:p w:rsidR="0033296B" w:rsidRDefault="0033296B" w:rsidP="0033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9B" w:rsidRDefault="0033296B" w:rsidP="0033296B">
    <w:pPr>
      <w:pStyle w:val="Sidehoved"/>
      <w:jc w:val="right"/>
    </w:pPr>
    <w:r>
      <w:rPr>
        <w:noProof/>
        <w:lang w:eastAsia="da-DK"/>
      </w:rPr>
      <w:drawing>
        <wp:inline distT="0" distB="0" distL="0" distR="0" wp14:anchorId="1D09A842" wp14:editId="1688A84C">
          <wp:extent cx="3863340" cy="1074420"/>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34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13"/>
    <w:multiLevelType w:val="hybridMultilevel"/>
    <w:tmpl w:val="9E047AB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89A06B7"/>
    <w:multiLevelType w:val="hybridMultilevel"/>
    <w:tmpl w:val="9772927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FB46CC5"/>
    <w:multiLevelType w:val="hybridMultilevel"/>
    <w:tmpl w:val="0A689C18"/>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5FE5C60"/>
    <w:multiLevelType w:val="hybridMultilevel"/>
    <w:tmpl w:val="2A4282A0"/>
    <w:lvl w:ilvl="0" w:tplc="245088E6">
      <w:numFmt w:val="bullet"/>
      <w:lvlText w:val="-"/>
      <w:lvlJc w:val="left"/>
      <w:pPr>
        <w:tabs>
          <w:tab w:val="num" w:pos="1050"/>
        </w:tabs>
        <w:ind w:left="1050" w:hanging="690"/>
      </w:pPr>
      <w:rPr>
        <w:rFonts w:ascii="Tahoma" w:eastAsia="Times New Roman" w:hAnsi="Tahoma"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736D7CDB"/>
    <w:multiLevelType w:val="hybridMultilevel"/>
    <w:tmpl w:val="84286020"/>
    <w:lvl w:ilvl="0" w:tplc="D81080FA">
      <w:start w:val="1"/>
      <w:numFmt w:val="bullet"/>
      <w:lvlText w:val=""/>
      <w:lvlJc w:val="left"/>
      <w:pPr>
        <w:tabs>
          <w:tab w:val="num" w:pos="720"/>
        </w:tabs>
        <w:ind w:left="720" w:hanging="360"/>
      </w:pPr>
      <w:rPr>
        <w:rFonts w:ascii="Symbol" w:hAnsi="Symbol" w:hint="default"/>
        <w:color w:val="auto"/>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6B"/>
    <w:rsid w:val="0000351A"/>
    <w:rsid w:val="00011ABC"/>
    <w:rsid w:val="00014E2A"/>
    <w:rsid w:val="000278B1"/>
    <w:rsid w:val="00032B96"/>
    <w:rsid w:val="00043288"/>
    <w:rsid w:val="000619DE"/>
    <w:rsid w:val="00074855"/>
    <w:rsid w:val="000A57DA"/>
    <w:rsid w:val="000B0F06"/>
    <w:rsid w:val="000C3F3C"/>
    <w:rsid w:val="000D6E90"/>
    <w:rsid w:val="00105386"/>
    <w:rsid w:val="00107209"/>
    <w:rsid w:val="00116650"/>
    <w:rsid w:val="00124C26"/>
    <w:rsid w:val="001320D5"/>
    <w:rsid w:val="00134A89"/>
    <w:rsid w:val="00141B79"/>
    <w:rsid w:val="00143C9C"/>
    <w:rsid w:val="00144E08"/>
    <w:rsid w:val="001537BE"/>
    <w:rsid w:val="00164965"/>
    <w:rsid w:val="001650AC"/>
    <w:rsid w:val="00165678"/>
    <w:rsid w:val="00183E9E"/>
    <w:rsid w:val="001A12BB"/>
    <w:rsid w:val="001D763E"/>
    <w:rsid w:val="001D7E56"/>
    <w:rsid w:val="001E2365"/>
    <w:rsid w:val="0023310E"/>
    <w:rsid w:val="002468F1"/>
    <w:rsid w:val="00251734"/>
    <w:rsid w:val="0025559F"/>
    <w:rsid w:val="00262BB6"/>
    <w:rsid w:val="00265325"/>
    <w:rsid w:val="00265B61"/>
    <w:rsid w:val="002722E9"/>
    <w:rsid w:val="0027627C"/>
    <w:rsid w:val="002B7807"/>
    <w:rsid w:val="002C6414"/>
    <w:rsid w:val="002E09CD"/>
    <w:rsid w:val="002F0A66"/>
    <w:rsid w:val="002F7246"/>
    <w:rsid w:val="0033296B"/>
    <w:rsid w:val="00346BC9"/>
    <w:rsid w:val="00363DC9"/>
    <w:rsid w:val="0036541E"/>
    <w:rsid w:val="00367AE6"/>
    <w:rsid w:val="00383C65"/>
    <w:rsid w:val="00385EFE"/>
    <w:rsid w:val="003B1B4C"/>
    <w:rsid w:val="003C0A71"/>
    <w:rsid w:val="003E6D96"/>
    <w:rsid w:val="003F159A"/>
    <w:rsid w:val="003F5F50"/>
    <w:rsid w:val="00413BA1"/>
    <w:rsid w:val="00431087"/>
    <w:rsid w:val="00454034"/>
    <w:rsid w:val="00460F8D"/>
    <w:rsid w:val="004610E4"/>
    <w:rsid w:val="00462AEA"/>
    <w:rsid w:val="00485C18"/>
    <w:rsid w:val="00490058"/>
    <w:rsid w:val="00491ECA"/>
    <w:rsid w:val="0049410A"/>
    <w:rsid w:val="004A4785"/>
    <w:rsid w:val="004B2DCC"/>
    <w:rsid w:val="004C6392"/>
    <w:rsid w:val="004D12A4"/>
    <w:rsid w:val="004D1B87"/>
    <w:rsid w:val="004E5EDB"/>
    <w:rsid w:val="00512713"/>
    <w:rsid w:val="00524993"/>
    <w:rsid w:val="00541F87"/>
    <w:rsid w:val="0055483F"/>
    <w:rsid w:val="00567878"/>
    <w:rsid w:val="00586E68"/>
    <w:rsid w:val="0059123D"/>
    <w:rsid w:val="005A1068"/>
    <w:rsid w:val="005A711A"/>
    <w:rsid w:val="005B30C4"/>
    <w:rsid w:val="005C2B1E"/>
    <w:rsid w:val="005E4C80"/>
    <w:rsid w:val="006436BA"/>
    <w:rsid w:val="00644F78"/>
    <w:rsid w:val="00687591"/>
    <w:rsid w:val="006A01DE"/>
    <w:rsid w:val="006B4EFD"/>
    <w:rsid w:val="006D7DC4"/>
    <w:rsid w:val="006E1E91"/>
    <w:rsid w:val="006F2CE4"/>
    <w:rsid w:val="0070277B"/>
    <w:rsid w:val="007102CE"/>
    <w:rsid w:val="00712B69"/>
    <w:rsid w:val="0071669E"/>
    <w:rsid w:val="00725E29"/>
    <w:rsid w:val="007305DA"/>
    <w:rsid w:val="00733060"/>
    <w:rsid w:val="007A15B2"/>
    <w:rsid w:val="007B4243"/>
    <w:rsid w:val="007B48B1"/>
    <w:rsid w:val="007C1523"/>
    <w:rsid w:val="007E6276"/>
    <w:rsid w:val="008169BB"/>
    <w:rsid w:val="00820107"/>
    <w:rsid w:val="008208E1"/>
    <w:rsid w:val="00834DD1"/>
    <w:rsid w:val="00835F06"/>
    <w:rsid w:val="0083603C"/>
    <w:rsid w:val="00846429"/>
    <w:rsid w:val="00853F7D"/>
    <w:rsid w:val="008A0171"/>
    <w:rsid w:val="008A3178"/>
    <w:rsid w:val="008B5A52"/>
    <w:rsid w:val="008C3157"/>
    <w:rsid w:val="008E57C0"/>
    <w:rsid w:val="008F25B4"/>
    <w:rsid w:val="00914950"/>
    <w:rsid w:val="00917257"/>
    <w:rsid w:val="0093025C"/>
    <w:rsid w:val="009371FA"/>
    <w:rsid w:val="00937864"/>
    <w:rsid w:val="00967413"/>
    <w:rsid w:val="0097462C"/>
    <w:rsid w:val="00984137"/>
    <w:rsid w:val="0099666B"/>
    <w:rsid w:val="009A5517"/>
    <w:rsid w:val="009A5961"/>
    <w:rsid w:val="009B4CE7"/>
    <w:rsid w:val="009C2AA9"/>
    <w:rsid w:val="009D1BC0"/>
    <w:rsid w:val="009E327F"/>
    <w:rsid w:val="009F198E"/>
    <w:rsid w:val="009F60F6"/>
    <w:rsid w:val="00A327D8"/>
    <w:rsid w:val="00A60993"/>
    <w:rsid w:val="00A63E28"/>
    <w:rsid w:val="00A75BE9"/>
    <w:rsid w:val="00A95DA6"/>
    <w:rsid w:val="00AA6F14"/>
    <w:rsid w:val="00AB647F"/>
    <w:rsid w:val="00AC3312"/>
    <w:rsid w:val="00AC6955"/>
    <w:rsid w:val="00AE7CE4"/>
    <w:rsid w:val="00AF271F"/>
    <w:rsid w:val="00B21D61"/>
    <w:rsid w:val="00B24413"/>
    <w:rsid w:val="00B340C4"/>
    <w:rsid w:val="00B47175"/>
    <w:rsid w:val="00B50914"/>
    <w:rsid w:val="00B525F4"/>
    <w:rsid w:val="00B73F87"/>
    <w:rsid w:val="00BA047F"/>
    <w:rsid w:val="00BD468E"/>
    <w:rsid w:val="00BE4CE8"/>
    <w:rsid w:val="00C1070F"/>
    <w:rsid w:val="00C5011D"/>
    <w:rsid w:val="00C76654"/>
    <w:rsid w:val="00C83721"/>
    <w:rsid w:val="00C87F08"/>
    <w:rsid w:val="00CA3767"/>
    <w:rsid w:val="00CB0149"/>
    <w:rsid w:val="00CC38A9"/>
    <w:rsid w:val="00CC6E32"/>
    <w:rsid w:val="00CD58D6"/>
    <w:rsid w:val="00CE70D3"/>
    <w:rsid w:val="00CF4733"/>
    <w:rsid w:val="00CF49B6"/>
    <w:rsid w:val="00D324BA"/>
    <w:rsid w:val="00D571D9"/>
    <w:rsid w:val="00D579AE"/>
    <w:rsid w:val="00D66E35"/>
    <w:rsid w:val="00D764C5"/>
    <w:rsid w:val="00D778CD"/>
    <w:rsid w:val="00D82502"/>
    <w:rsid w:val="00D83BDC"/>
    <w:rsid w:val="00D8660C"/>
    <w:rsid w:val="00D879F9"/>
    <w:rsid w:val="00D96BD3"/>
    <w:rsid w:val="00DA4F8D"/>
    <w:rsid w:val="00DB0848"/>
    <w:rsid w:val="00DB3BB8"/>
    <w:rsid w:val="00DD2DF5"/>
    <w:rsid w:val="00E1468B"/>
    <w:rsid w:val="00E53DBD"/>
    <w:rsid w:val="00E57F8A"/>
    <w:rsid w:val="00E610E2"/>
    <w:rsid w:val="00E8390C"/>
    <w:rsid w:val="00E857D4"/>
    <w:rsid w:val="00EB19E5"/>
    <w:rsid w:val="00EC4E24"/>
    <w:rsid w:val="00ED027B"/>
    <w:rsid w:val="00ED5CFC"/>
    <w:rsid w:val="00ED7DE0"/>
    <w:rsid w:val="00F1786F"/>
    <w:rsid w:val="00F45A62"/>
    <w:rsid w:val="00F82854"/>
    <w:rsid w:val="00FA326B"/>
    <w:rsid w:val="00FB287A"/>
    <w:rsid w:val="00FB59CC"/>
    <w:rsid w:val="00FC1543"/>
    <w:rsid w:val="00FD51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33296B"/>
    <w:pPr>
      <w:keepNext/>
      <w:spacing w:after="0" w:line="280" w:lineRule="atLeast"/>
      <w:outlineLvl w:val="3"/>
    </w:pPr>
    <w:rPr>
      <w:rFonts w:ascii="Verdana" w:eastAsia="Times New Roman" w:hAnsi="Verdana" w:cs="Times New Roman"/>
      <w:b/>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styleId="Hyperlink">
    <w:name w:val="Hyperlink"/>
    <w:basedOn w:val="Standardskrifttypeiafsnit"/>
    <w:uiPriority w:val="99"/>
    <w:rsid w:val="0033296B"/>
    <w:rPr>
      <w:color w:val="auto"/>
      <w:u w:val="none"/>
    </w:rPr>
  </w:style>
  <w:style w:type="paragraph" w:styleId="Sidehoved">
    <w:name w:val="header"/>
    <w:basedOn w:val="Normal"/>
    <w:link w:val="SidehovedTegn"/>
    <w:uiPriority w:val="99"/>
    <w:rsid w:val="0033296B"/>
    <w:pPr>
      <w:tabs>
        <w:tab w:val="center" w:pos="3544"/>
        <w:tab w:val="right" w:pos="7088"/>
      </w:tabs>
      <w:spacing w:after="0" w:line="280" w:lineRule="atLeast"/>
    </w:pPr>
    <w:rPr>
      <w:rFonts w:ascii="Verdana" w:eastAsia="Times New Roman" w:hAnsi="Verdana" w:cs="Times New Roman"/>
      <w:szCs w:val="24"/>
    </w:rPr>
  </w:style>
  <w:style w:type="character" w:customStyle="1" w:styleId="SidehovedTegn">
    <w:name w:val="Sidehoved Tegn"/>
    <w:basedOn w:val="Standardskrifttypeiafsnit"/>
    <w:link w:val="Sidehoved"/>
    <w:uiPriority w:val="99"/>
    <w:rsid w:val="0033296B"/>
    <w:rPr>
      <w:rFonts w:ascii="Verdana" w:eastAsia="Times New Roman" w:hAnsi="Verdana" w:cs="Times New Roman"/>
      <w:sz w:val="20"/>
      <w:szCs w:val="24"/>
    </w:rPr>
  </w:style>
  <w:style w:type="paragraph" w:styleId="Sidefod">
    <w:name w:val="footer"/>
    <w:basedOn w:val="Normal"/>
    <w:link w:val="SidefodTegn"/>
    <w:uiPriority w:val="99"/>
    <w:rsid w:val="0033296B"/>
    <w:pPr>
      <w:tabs>
        <w:tab w:val="center" w:pos="3544"/>
        <w:tab w:val="right" w:pos="7088"/>
      </w:tabs>
      <w:spacing w:after="0" w:line="280" w:lineRule="atLeast"/>
    </w:pPr>
    <w:rPr>
      <w:rFonts w:ascii="Verdana" w:eastAsia="Times New Roman" w:hAnsi="Verdana" w:cs="Times New Roman"/>
      <w:szCs w:val="24"/>
    </w:rPr>
  </w:style>
  <w:style w:type="character" w:customStyle="1" w:styleId="SidefodTegn">
    <w:name w:val="Sidefod Tegn"/>
    <w:basedOn w:val="Standardskrifttypeiafsnit"/>
    <w:link w:val="Sidefod"/>
    <w:uiPriority w:val="99"/>
    <w:rsid w:val="0033296B"/>
    <w:rPr>
      <w:rFonts w:ascii="Verdana" w:eastAsia="Times New Roman" w:hAnsi="Verdana" w:cs="Times New Roman"/>
      <w:sz w:val="20"/>
      <w:szCs w:val="24"/>
    </w:rPr>
  </w:style>
  <w:style w:type="character" w:styleId="Sidetal">
    <w:name w:val="page number"/>
    <w:basedOn w:val="Standardskrifttypeiafsnit"/>
    <w:uiPriority w:val="99"/>
    <w:rsid w:val="0033296B"/>
  </w:style>
  <w:style w:type="paragraph" w:customStyle="1" w:styleId="Informationer">
    <w:name w:val="Informationer"/>
    <w:basedOn w:val="Normal"/>
    <w:rsid w:val="0033296B"/>
    <w:pPr>
      <w:spacing w:after="0"/>
      <w:jc w:val="right"/>
    </w:pPr>
    <w:rPr>
      <w:rFonts w:ascii="Verdana" w:eastAsia="Times New Roman" w:hAnsi="Verdana" w:cs="Times New Roman"/>
      <w:sz w:val="15"/>
      <w:szCs w:val="15"/>
    </w:rPr>
  </w:style>
  <w:style w:type="character" w:styleId="Kommentarhenvisning">
    <w:name w:val="annotation reference"/>
    <w:basedOn w:val="Standardskrifttypeiafsnit"/>
    <w:uiPriority w:val="99"/>
    <w:rsid w:val="0033296B"/>
    <w:rPr>
      <w:sz w:val="16"/>
    </w:rPr>
  </w:style>
  <w:style w:type="paragraph" w:styleId="Kommentartekst">
    <w:name w:val="annotation text"/>
    <w:basedOn w:val="Normal"/>
    <w:link w:val="KommentartekstTegn"/>
    <w:uiPriority w:val="99"/>
    <w:rsid w:val="0033296B"/>
    <w:pPr>
      <w:spacing w:after="0" w:line="280" w:lineRule="atLeast"/>
    </w:pPr>
    <w:rPr>
      <w:rFonts w:ascii="Verdana" w:eastAsia="Times New Roman" w:hAnsi="Verdana" w:cs="Times New Roman"/>
      <w:szCs w:val="20"/>
    </w:rPr>
  </w:style>
  <w:style w:type="character" w:customStyle="1" w:styleId="KommentartekstTegn">
    <w:name w:val="Kommentartekst Tegn"/>
    <w:basedOn w:val="Standardskrifttypeiafsnit"/>
    <w:link w:val="Kommentartekst"/>
    <w:uiPriority w:val="99"/>
    <w:rsid w:val="0033296B"/>
    <w:rPr>
      <w:rFonts w:ascii="Verdana" w:eastAsia="Times New Roman" w:hAnsi="Verdana" w:cs="Times New Roman"/>
      <w:sz w:val="20"/>
      <w:szCs w:val="20"/>
    </w:rPr>
  </w:style>
  <w:style w:type="character" w:customStyle="1" w:styleId="Overskrift4Tegn">
    <w:name w:val="Overskrift 4 Tegn"/>
    <w:basedOn w:val="Standardskrifttypeiafsnit"/>
    <w:link w:val="Overskrift4"/>
    <w:uiPriority w:val="9"/>
    <w:rsid w:val="0033296B"/>
    <w:rPr>
      <w:rFonts w:ascii="Verdana" w:eastAsia="Times New Roman" w:hAnsi="Verdana" w:cs="Times New Roman"/>
      <w:b/>
      <w:sz w:val="18"/>
      <w:szCs w:val="1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33296B"/>
    <w:pPr>
      <w:keepNext/>
      <w:spacing w:after="0" w:line="280" w:lineRule="atLeast"/>
      <w:outlineLvl w:val="3"/>
    </w:pPr>
    <w:rPr>
      <w:rFonts w:ascii="Verdana" w:eastAsia="Times New Roman" w:hAnsi="Verdana" w:cs="Times New Roman"/>
      <w:b/>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styleId="Hyperlink">
    <w:name w:val="Hyperlink"/>
    <w:basedOn w:val="Standardskrifttypeiafsnit"/>
    <w:uiPriority w:val="99"/>
    <w:rsid w:val="0033296B"/>
    <w:rPr>
      <w:color w:val="auto"/>
      <w:u w:val="none"/>
    </w:rPr>
  </w:style>
  <w:style w:type="paragraph" w:styleId="Sidehoved">
    <w:name w:val="header"/>
    <w:basedOn w:val="Normal"/>
    <w:link w:val="SidehovedTegn"/>
    <w:uiPriority w:val="99"/>
    <w:rsid w:val="0033296B"/>
    <w:pPr>
      <w:tabs>
        <w:tab w:val="center" w:pos="3544"/>
        <w:tab w:val="right" w:pos="7088"/>
      </w:tabs>
      <w:spacing w:after="0" w:line="280" w:lineRule="atLeast"/>
    </w:pPr>
    <w:rPr>
      <w:rFonts w:ascii="Verdana" w:eastAsia="Times New Roman" w:hAnsi="Verdana" w:cs="Times New Roman"/>
      <w:szCs w:val="24"/>
    </w:rPr>
  </w:style>
  <w:style w:type="character" w:customStyle="1" w:styleId="SidehovedTegn">
    <w:name w:val="Sidehoved Tegn"/>
    <w:basedOn w:val="Standardskrifttypeiafsnit"/>
    <w:link w:val="Sidehoved"/>
    <w:uiPriority w:val="99"/>
    <w:rsid w:val="0033296B"/>
    <w:rPr>
      <w:rFonts w:ascii="Verdana" w:eastAsia="Times New Roman" w:hAnsi="Verdana" w:cs="Times New Roman"/>
      <w:sz w:val="20"/>
      <w:szCs w:val="24"/>
    </w:rPr>
  </w:style>
  <w:style w:type="paragraph" w:styleId="Sidefod">
    <w:name w:val="footer"/>
    <w:basedOn w:val="Normal"/>
    <w:link w:val="SidefodTegn"/>
    <w:uiPriority w:val="99"/>
    <w:rsid w:val="0033296B"/>
    <w:pPr>
      <w:tabs>
        <w:tab w:val="center" w:pos="3544"/>
        <w:tab w:val="right" w:pos="7088"/>
      </w:tabs>
      <w:spacing w:after="0" w:line="280" w:lineRule="atLeast"/>
    </w:pPr>
    <w:rPr>
      <w:rFonts w:ascii="Verdana" w:eastAsia="Times New Roman" w:hAnsi="Verdana" w:cs="Times New Roman"/>
      <w:szCs w:val="24"/>
    </w:rPr>
  </w:style>
  <w:style w:type="character" w:customStyle="1" w:styleId="SidefodTegn">
    <w:name w:val="Sidefod Tegn"/>
    <w:basedOn w:val="Standardskrifttypeiafsnit"/>
    <w:link w:val="Sidefod"/>
    <w:uiPriority w:val="99"/>
    <w:rsid w:val="0033296B"/>
    <w:rPr>
      <w:rFonts w:ascii="Verdana" w:eastAsia="Times New Roman" w:hAnsi="Verdana" w:cs="Times New Roman"/>
      <w:sz w:val="20"/>
      <w:szCs w:val="24"/>
    </w:rPr>
  </w:style>
  <w:style w:type="character" w:styleId="Sidetal">
    <w:name w:val="page number"/>
    <w:basedOn w:val="Standardskrifttypeiafsnit"/>
    <w:uiPriority w:val="99"/>
    <w:rsid w:val="0033296B"/>
  </w:style>
  <w:style w:type="paragraph" w:customStyle="1" w:styleId="Informationer">
    <w:name w:val="Informationer"/>
    <w:basedOn w:val="Normal"/>
    <w:rsid w:val="0033296B"/>
    <w:pPr>
      <w:spacing w:after="0"/>
      <w:jc w:val="right"/>
    </w:pPr>
    <w:rPr>
      <w:rFonts w:ascii="Verdana" w:eastAsia="Times New Roman" w:hAnsi="Verdana" w:cs="Times New Roman"/>
      <w:sz w:val="15"/>
      <w:szCs w:val="15"/>
    </w:rPr>
  </w:style>
  <w:style w:type="character" w:styleId="Kommentarhenvisning">
    <w:name w:val="annotation reference"/>
    <w:basedOn w:val="Standardskrifttypeiafsnit"/>
    <w:uiPriority w:val="99"/>
    <w:rsid w:val="0033296B"/>
    <w:rPr>
      <w:sz w:val="16"/>
    </w:rPr>
  </w:style>
  <w:style w:type="paragraph" w:styleId="Kommentartekst">
    <w:name w:val="annotation text"/>
    <w:basedOn w:val="Normal"/>
    <w:link w:val="KommentartekstTegn"/>
    <w:uiPriority w:val="99"/>
    <w:rsid w:val="0033296B"/>
    <w:pPr>
      <w:spacing w:after="0" w:line="280" w:lineRule="atLeast"/>
    </w:pPr>
    <w:rPr>
      <w:rFonts w:ascii="Verdana" w:eastAsia="Times New Roman" w:hAnsi="Verdana" w:cs="Times New Roman"/>
      <w:szCs w:val="20"/>
    </w:rPr>
  </w:style>
  <w:style w:type="character" w:customStyle="1" w:styleId="KommentartekstTegn">
    <w:name w:val="Kommentartekst Tegn"/>
    <w:basedOn w:val="Standardskrifttypeiafsnit"/>
    <w:link w:val="Kommentartekst"/>
    <w:uiPriority w:val="99"/>
    <w:rsid w:val="0033296B"/>
    <w:rPr>
      <w:rFonts w:ascii="Verdana" w:eastAsia="Times New Roman" w:hAnsi="Verdana" w:cs="Times New Roman"/>
      <w:sz w:val="20"/>
      <w:szCs w:val="20"/>
    </w:rPr>
  </w:style>
  <w:style w:type="character" w:customStyle="1" w:styleId="Overskrift4Tegn">
    <w:name w:val="Overskrift 4 Tegn"/>
    <w:basedOn w:val="Standardskrifttypeiafsnit"/>
    <w:link w:val="Overskrift4"/>
    <w:uiPriority w:val="9"/>
    <w:rsid w:val="0033296B"/>
    <w:rPr>
      <w:rFonts w:ascii="Verdana" w:eastAsia="Times New Roman" w:hAnsi="Verdana" w:cs="Times New Roman"/>
      <w:b/>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kkp.dk/om-rkkp/udviklingsmal-2015/" TargetMode="External"/><Relationship Id="rId4" Type="http://schemas.microsoft.com/office/2007/relationships/stylesWithEffects" Target="stylesWithEffects.xml"/><Relationship Id="rId9" Type="http://schemas.openxmlformats.org/officeDocument/2006/relationships/hyperlink" Target="mailto:fagligkvalitet@rkkp.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CEDE-6695-4A5A-AF64-67A9D3C1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13006</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Sigsgaard Hansen</dc:creator>
  <cp:lastModifiedBy>Pia Frandsen</cp:lastModifiedBy>
  <cp:revision>2</cp:revision>
  <dcterms:created xsi:type="dcterms:W3CDTF">2018-06-28T10:23:00Z</dcterms:created>
  <dcterms:modified xsi:type="dcterms:W3CDTF">2018-06-28T10:23:00Z</dcterms:modified>
</cp:coreProperties>
</file>